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2943" w:type="dxa"/>
        <w:tblLayout w:type="fixed"/>
        <w:tblLook w:val="0000"/>
      </w:tblPr>
      <w:tblGrid>
        <w:gridCol w:w="1242"/>
        <w:gridCol w:w="1701"/>
      </w:tblGrid>
      <w:tr w:rsidR="00696FB0" w:rsidTr="00B41B66">
        <w:trPr>
          <w:trHeight w:val="1185"/>
        </w:trPr>
        <w:tc>
          <w:tcPr>
            <w:tcW w:w="1242" w:type="dxa"/>
            <w:vAlign w:val="center"/>
          </w:tcPr>
          <w:p w:rsidR="00696FB0" w:rsidRDefault="009C24FF" w:rsidP="00B41B66">
            <w:pPr>
              <w:widowContro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6pt;margin-top:769.8pt;width:532.8pt;height:37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vY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" o:allowincell="f" filled="f" stroked="f">
                  <v:textbox>
                    <w:txbxContent>
                      <w:p w:rsidR="001A3317" w:rsidRDefault="001A3317" w:rsidP="00696FB0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1A3317" w:rsidRPr="0008757C" w:rsidRDefault="001A3317" w:rsidP="00696F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10002 Zagreb - Hrvatska, Ilica 49/II, p.p. 166; Tel. 01 480 66 66,  Fax: 01 484 66 10, </w:t>
                        </w:r>
                      </w:p>
                      <w:p w:rsidR="001A3317" w:rsidRPr="0008757C" w:rsidRDefault="001A3317" w:rsidP="00696FB0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E-mail: </w:t>
                        </w:r>
                        <w:hyperlink r:id="rId8" w:history="1">
                          <w:r w:rsidRPr="0008757C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hok@hok.hr</w:t>
                          </w:r>
                        </w:hyperlink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, WEB: http://www.hok.hr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r w:rsidRPr="009C24FF">
              <w:rPr>
                <w:noProof/>
                <w:sz w:val="20"/>
              </w:rPr>
              <w:pict>
                <v:rect id="Rectangle 3" o:spid="_x0000_s1027" style="position:absolute;margin-left:525.6pt;margin-top:21.55pt;width:36pt;height:28.8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4k11RXoCAAD6BAAA&#10;DgAAAAAAAAAAAAAAAAAuAgAAZHJzL2Uyb0RvYy54bWxQSwECLQAUAAYACAAAACEAfYg46N4AAAAM&#10;AQAADwAAAAAAAAAAAAAAAADUBAAAZHJzL2Rvd25yZXYueG1sUEsFBgAAAAAEAAQA8wAAAN8FAAAA&#10;AA==&#10;" o:allowincell="f" stroked="f">
                  <w10:wrap type="topAndBottom" anchorx="page" anchory="page"/>
                  <w10:anchorlock/>
                </v:rect>
              </w:pict>
            </w:r>
            <w:r w:rsidR="00696FB0">
              <w:rPr>
                <w:noProof/>
                <w:sz w:val="20"/>
              </w:rPr>
              <w:drawing>
                <wp:inline distT="0" distB="0" distL="0" distR="0">
                  <wp:extent cx="702945" cy="72326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696FB0" w:rsidRPr="003F3C3B" w:rsidRDefault="00696FB0" w:rsidP="00B41B66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696FB0" w:rsidRPr="003F3C3B" w:rsidRDefault="00696FB0" w:rsidP="00B41B66">
            <w:pPr>
              <w:widowControl w:val="0"/>
              <w:rPr>
                <w:rFonts w:ascii="Arial" w:hAnsi="Arial" w:cs="Arial"/>
                <w:b/>
              </w:rPr>
            </w:pPr>
            <w:r w:rsidRPr="003F3C3B">
              <w:rPr>
                <w:rFonts w:ascii="Arial" w:hAnsi="Arial" w:cs="Arial"/>
                <w:b/>
              </w:rPr>
              <w:t>OBRTNIČKA</w:t>
            </w:r>
          </w:p>
          <w:p w:rsidR="00696FB0" w:rsidRDefault="00696FB0" w:rsidP="00B41B66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</w:rPr>
              <w:t>KOMORA</w:t>
            </w:r>
          </w:p>
        </w:tc>
      </w:tr>
    </w:tbl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7230EB" w:rsidRDefault="007230EB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Pr="00696FB0" w:rsidRDefault="00696FB0" w:rsidP="00696F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FB0">
        <w:rPr>
          <w:rFonts w:ascii="Arial" w:hAnsi="Arial" w:cs="Arial"/>
          <w:b/>
          <w:sz w:val="24"/>
          <w:szCs w:val="24"/>
          <w:u w:val="single"/>
        </w:rPr>
        <w:t>Digitalna komora – pozivni natječaj za apliciranje programskog rješenja</w:t>
      </w: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7230EB" w:rsidRDefault="007230EB" w:rsidP="00696FB0">
      <w:pPr>
        <w:jc w:val="both"/>
        <w:rPr>
          <w:rFonts w:ascii="Arial" w:hAnsi="Arial" w:cs="Arial"/>
          <w:sz w:val="24"/>
          <w:szCs w:val="24"/>
        </w:rPr>
      </w:pPr>
    </w:p>
    <w:p w:rsidR="00544E31" w:rsidRDefault="00544E31" w:rsidP="00696FB0">
      <w:pPr>
        <w:jc w:val="both"/>
        <w:rPr>
          <w:rFonts w:ascii="Arial" w:hAnsi="Arial" w:cs="Arial"/>
          <w:sz w:val="24"/>
          <w:szCs w:val="24"/>
        </w:rPr>
      </w:pPr>
      <w:r w:rsidRPr="00544E31">
        <w:rPr>
          <w:rFonts w:ascii="Arial" w:hAnsi="Arial" w:cs="Arial"/>
          <w:sz w:val="24"/>
          <w:szCs w:val="24"/>
        </w:rPr>
        <w:t>Hrvatska obrtnička komora</w:t>
      </w:r>
      <w:r>
        <w:rPr>
          <w:rFonts w:ascii="Arial" w:hAnsi="Arial" w:cs="Arial"/>
          <w:sz w:val="24"/>
          <w:szCs w:val="24"/>
        </w:rPr>
        <w:t xml:space="preserve"> objavljuje natječaj za izradu programskog rješenja u projektu M</w:t>
      </w:r>
      <w:r w:rsidRPr="00544E31">
        <w:rPr>
          <w:rFonts w:ascii="Arial" w:hAnsi="Arial" w:cs="Arial"/>
          <w:sz w:val="24"/>
          <w:szCs w:val="24"/>
        </w:rPr>
        <w:t>obilna platforma za obrtništvo - Digitalna komora</w:t>
      </w:r>
    </w:p>
    <w:p w:rsidR="007230EB" w:rsidRDefault="007230EB" w:rsidP="00696FB0">
      <w:pPr>
        <w:jc w:val="both"/>
        <w:rPr>
          <w:rFonts w:ascii="Arial" w:hAnsi="Arial" w:cs="Arial"/>
          <w:sz w:val="24"/>
          <w:szCs w:val="24"/>
        </w:rPr>
      </w:pPr>
    </w:p>
    <w:p w:rsidR="007230EB" w:rsidRDefault="007230EB" w:rsidP="00696FB0">
      <w:pPr>
        <w:jc w:val="both"/>
        <w:rPr>
          <w:rFonts w:ascii="Arial" w:hAnsi="Arial" w:cs="Arial"/>
          <w:sz w:val="24"/>
          <w:szCs w:val="24"/>
        </w:rPr>
      </w:pPr>
    </w:p>
    <w:p w:rsidR="00544E31" w:rsidRDefault="001D724C" w:rsidP="00696F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dostavu</w:t>
      </w:r>
      <w:r w:rsidR="00544E31" w:rsidRPr="00544E31">
        <w:rPr>
          <w:rFonts w:ascii="Arial" w:hAnsi="Arial" w:cs="Arial"/>
          <w:sz w:val="24"/>
          <w:szCs w:val="24"/>
        </w:rPr>
        <w:t xml:space="preserve"> ponude:</w:t>
      </w:r>
      <w:r w:rsidR="00544E31">
        <w:rPr>
          <w:rFonts w:ascii="Arial" w:hAnsi="Arial" w:cs="Arial"/>
          <w:b/>
          <w:sz w:val="24"/>
          <w:szCs w:val="24"/>
        </w:rPr>
        <w:t xml:space="preserve"> </w:t>
      </w:r>
      <w:r w:rsidR="00544E31" w:rsidRPr="00544E31">
        <w:rPr>
          <w:rFonts w:ascii="Arial" w:hAnsi="Arial" w:cs="Arial"/>
          <w:b/>
          <w:sz w:val="24"/>
          <w:szCs w:val="24"/>
        </w:rPr>
        <w:t xml:space="preserve"> 10.09.2017.</w:t>
      </w:r>
    </w:p>
    <w:p w:rsidR="00544E31" w:rsidRDefault="00544E31" w:rsidP="00544E31">
      <w:pPr>
        <w:jc w:val="both"/>
        <w:rPr>
          <w:rFonts w:ascii="Arial" w:hAnsi="Arial" w:cs="Arial"/>
          <w:b/>
          <w:sz w:val="24"/>
          <w:szCs w:val="24"/>
        </w:rPr>
      </w:pPr>
    </w:p>
    <w:p w:rsidR="00544E31" w:rsidRPr="00544E31" w:rsidRDefault="00544E31" w:rsidP="00544E31">
      <w:pPr>
        <w:jc w:val="both"/>
        <w:rPr>
          <w:rFonts w:ascii="Arial" w:hAnsi="Arial" w:cs="Arial"/>
          <w:sz w:val="24"/>
          <w:szCs w:val="24"/>
        </w:rPr>
      </w:pPr>
      <w:r w:rsidRPr="00544E31">
        <w:rPr>
          <w:rFonts w:ascii="Arial" w:hAnsi="Arial" w:cs="Arial"/>
          <w:sz w:val="24"/>
          <w:szCs w:val="24"/>
        </w:rPr>
        <w:t>Ponude ste u mogućnosti dostaviti:</w:t>
      </w:r>
    </w:p>
    <w:p w:rsidR="00544E31" w:rsidRPr="00544E31" w:rsidRDefault="00544E31" w:rsidP="00544E3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4E31">
        <w:rPr>
          <w:rFonts w:ascii="Arial" w:hAnsi="Arial" w:cs="Arial"/>
          <w:sz w:val="24"/>
          <w:szCs w:val="24"/>
        </w:rPr>
        <w:t>osobno u Hrvatsku obrtničku komoru do naznačenog datuma dostave ponude</w:t>
      </w:r>
    </w:p>
    <w:p w:rsidR="00544E31" w:rsidRPr="00544E31" w:rsidRDefault="00544E31" w:rsidP="00544E3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4E31">
        <w:rPr>
          <w:rFonts w:ascii="Arial" w:hAnsi="Arial" w:cs="Arial"/>
          <w:sz w:val="24"/>
          <w:szCs w:val="24"/>
        </w:rPr>
        <w:t>putem r</w:t>
      </w:r>
      <w:r w:rsidR="0023337E">
        <w:rPr>
          <w:rFonts w:ascii="Arial" w:hAnsi="Arial" w:cs="Arial"/>
          <w:sz w:val="24"/>
          <w:szCs w:val="24"/>
        </w:rPr>
        <w:t>edovne pošte, a datum zaprimanja</w:t>
      </w:r>
      <w:r w:rsidRPr="00544E31">
        <w:rPr>
          <w:rFonts w:ascii="Arial" w:hAnsi="Arial" w:cs="Arial"/>
          <w:sz w:val="24"/>
          <w:szCs w:val="24"/>
        </w:rPr>
        <w:t xml:space="preserve"> ponude u poslovnici Hrvatske pošte ne može biti nakon isteka naznačenog datuma dostave ponude</w:t>
      </w:r>
    </w:p>
    <w:p w:rsidR="00544E31" w:rsidRPr="00544E31" w:rsidRDefault="00544E31" w:rsidP="00544E3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4E31">
        <w:rPr>
          <w:rFonts w:ascii="Arial" w:hAnsi="Arial" w:cs="Arial"/>
          <w:sz w:val="24"/>
          <w:szCs w:val="24"/>
        </w:rPr>
        <w:t>ponude dostaviti u zatvorenim kuvertama s naznakom:</w:t>
      </w:r>
    </w:p>
    <w:p w:rsidR="00544E31" w:rsidRPr="0023337E" w:rsidRDefault="0023337E" w:rsidP="0023337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44E31" w:rsidRPr="0023337E">
        <w:rPr>
          <w:rFonts w:ascii="Arial" w:hAnsi="Arial" w:cs="Arial"/>
          <w:sz w:val="24"/>
          <w:szCs w:val="24"/>
        </w:rPr>
        <w:t>NE OTVARATI – Ponuda za izradu programskog rješenja “Digitalna komora“</w:t>
      </w:r>
      <w:r>
        <w:rPr>
          <w:rFonts w:ascii="Arial" w:hAnsi="Arial" w:cs="Arial"/>
          <w:sz w:val="24"/>
          <w:szCs w:val="24"/>
        </w:rPr>
        <w:t>“</w:t>
      </w:r>
    </w:p>
    <w:p w:rsidR="00544E31" w:rsidRPr="00544E31" w:rsidRDefault="00544E31" w:rsidP="00544E31">
      <w:pPr>
        <w:jc w:val="both"/>
        <w:rPr>
          <w:rFonts w:ascii="Arial" w:hAnsi="Arial" w:cs="Arial"/>
          <w:b/>
          <w:sz w:val="24"/>
          <w:szCs w:val="24"/>
        </w:rPr>
      </w:pPr>
    </w:p>
    <w:p w:rsidR="007230EB" w:rsidRDefault="007230EB" w:rsidP="00544E31">
      <w:pPr>
        <w:jc w:val="both"/>
        <w:rPr>
          <w:rFonts w:ascii="Arial" w:hAnsi="Arial" w:cs="Arial"/>
          <w:b/>
          <w:sz w:val="24"/>
          <w:szCs w:val="24"/>
        </w:rPr>
      </w:pPr>
    </w:p>
    <w:p w:rsidR="00544E31" w:rsidRPr="00544E31" w:rsidRDefault="00544E31" w:rsidP="00544E31">
      <w:pPr>
        <w:jc w:val="both"/>
        <w:rPr>
          <w:rFonts w:ascii="Arial" w:hAnsi="Arial" w:cs="Arial"/>
          <w:b/>
          <w:sz w:val="24"/>
          <w:szCs w:val="24"/>
        </w:rPr>
      </w:pPr>
      <w:r w:rsidRPr="00544E31">
        <w:rPr>
          <w:rFonts w:ascii="Arial" w:hAnsi="Arial" w:cs="Arial"/>
          <w:b/>
          <w:sz w:val="24"/>
          <w:szCs w:val="24"/>
        </w:rPr>
        <w:t>Ponude koje su stigle nakon na</w:t>
      </w:r>
      <w:r w:rsidR="0023337E">
        <w:rPr>
          <w:rFonts w:ascii="Arial" w:hAnsi="Arial" w:cs="Arial"/>
          <w:b/>
          <w:sz w:val="24"/>
          <w:szCs w:val="24"/>
        </w:rPr>
        <w:t>značenog datuma dostave ponude</w:t>
      </w:r>
      <w:r w:rsidRPr="00544E31">
        <w:rPr>
          <w:rFonts w:ascii="Arial" w:hAnsi="Arial" w:cs="Arial"/>
          <w:b/>
          <w:sz w:val="24"/>
          <w:szCs w:val="24"/>
        </w:rPr>
        <w:t xml:space="preserve"> neće se razmatrati.</w:t>
      </w:r>
    </w:p>
    <w:p w:rsidR="00544E31" w:rsidRPr="007230EB" w:rsidRDefault="001D724C" w:rsidP="00544E31">
      <w:pPr>
        <w:jc w:val="both"/>
        <w:rPr>
          <w:rFonts w:ascii="Arial" w:hAnsi="Arial" w:cs="Arial"/>
          <w:sz w:val="24"/>
          <w:szCs w:val="24"/>
        </w:rPr>
      </w:pPr>
      <w:r w:rsidRPr="007230EB">
        <w:rPr>
          <w:rFonts w:ascii="Arial" w:hAnsi="Arial" w:cs="Arial"/>
          <w:sz w:val="24"/>
          <w:szCs w:val="24"/>
        </w:rPr>
        <w:t>Ponude će se procjenjivati po kriteriju ekonomski najpovoljnije ponude (najbolje vrijednosti za novac, na temelju kvalitete, cijene, tehničkih prednosti, funkcionalnih značajki, operativnih troškova i rokova isporuke)</w:t>
      </w:r>
    </w:p>
    <w:p w:rsidR="007230EB" w:rsidRDefault="007230EB" w:rsidP="00544E31">
      <w:pPr>
        <w:jc w:val="both"/>
        <w:rPr>
          <w:rFonts w:ascii="Arial" w:hAnsi="Arial" w:cs="Arial"/>
          <w:sz w:val="24"/>
          <w:szCs w:val="24"/>
        </w:rPr>
      </w:pPr>
    </w:p>
    <w:p w:rsidR="00544E31" w:rsidRDefault="001D724C" w:rsidP="00544E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ponude</w:t>
      </w:r>
      <w:r w:rsidR="00544E31" w:rsidRPr="00E10141">
        <w:rPr>
          <w:rFonts w:ascii="Arial" w:hAnsi="Arial" w:cs="Arial"/>
          <w:sz w:val="24"/>
          <w:szCs w:val="24"/>
        </w:rPr>
        <w:t>:</w:t>
      </w:r>
      <w:r w:rsidR="00E10141">
        <w:rPr>
          <w:rFonts w:ascii="Arial" w:hAnsi="Arial" w:cs="Arial"/>
          <w:b/>
          <w:sz w:val="24"/>
          <w:szCs w:val="24"/>
        </w:rPr>
        <w:t xml:space="preserve"> </w:t>
      </w:r>
      <w:r w:rsidR="00544E31" w:rsidRPr="00544E31">
        <w:rPr>
          <w:rFonts w:ascii="Arial" w:hAnsi="Arial" w:cs="Arial"/>
          <w:b/>
          <w:sz w:val="24"/>
          <w:szCs w:val="24"/>
        </w:rPr>
        <w:t>Hrvatska obrtnička komora, Ilica 49/II, 10 002 Zagreb, p.p. 166</w:t>
      </w:r>
    </w:p>
    <w:p w:rsidR="00E10141" w:rsidRDefault="00E10141" w:rsidP="00696FB0">
      <w:pPr>
        <w:jc w:val="both"/>
        <w:rPr>
          <w:rFonts w:ascii="Arial" w:hAnsi="Arial" w:cs="Arial"/>
          <w:b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b/>
          <w:sz w:val="24"/>
          <w:szCs w:val="24"/>
        </w:rPr>
      </w:pPr>
      <w:r w:rsidRPr="00F55134">
        <w:rPr>
          <w:rFonts w:ascii="Arial" w:hAnsi="Arial" w:cs="Arial"/>
          <w:b/>
          <w:sz w:val="24"/>
          <w:szCs w:val="24"/>
        </w:rPr>
        <w:t>Tko se može prijaviti:</w:t>
      </w:r>
    </w:p>
    <w:p w:rsidR="0029385A" w:rsidRPr="00F55134" w:rsidRDefault="0029385A" w:rsidP="00696FB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6FB0" w:rsidRPr="00B14342" w:rsidRDefault="00696FB0" w:rsidP="00696FB0">
      <w:pPr>
        <w:jc w:val="both"/>
        <w:rPr>
          <w:rFonts w:ascii="Arial" w:hAnsi="Arial" w:cs="Arial"/>
          <w:sz w:val="24"/>
          <w:szCs w:val="24"/>
          <w:u w:val="single"/>
        </w:rPr>
      </w:pPr>
      <w:r w:rsidRPr="00B14342">
        <w:rPr>
          <w:rFonts w:ascii="Arial" w:hAnsi="Arial" w:cs="Arial"/>
          <w:sz w:val="24"/>
          <w:szCs w:val="24"/>
          <w:u w:val="single"/>
        </w:rPr>
        <w:t xml:space="preserve">1. Prihvatljivost </w:t>
      </w:r>
      <w:r w:rsidR="001A3317">
        <w:rPr>
          <w:rFonts w:ascii="Arial" w:hAnsi="Arial" w:cs="Arial"/>
          <w:sz w:val="24"/>
          <w:szCs w:val="24"/>
          <w:u w:val="single"/>
        </w:rPr>
        <w:t>P</w:t>
      </w:r>
      <w:r w:rsidRPr="00B14342">
        <w:rPr>
          <w:rFonts w:ascii="Arial" w:hAnsi="Arial" w:cs="Arial"/>
          <w:sz w:val="24"/>
          <w:szCs w:val="24"/>
          <w:u w:val="single"/>
        </w:rPr>
        <w:t>onuditelj</w:t>
      </w:r>
      <w:r w:rsidR="001A3317">
        <w:rPr>
          <w:rFonts w:ascii="Arial" w:hAnsi="Arial" w:cs="Arial"/>
          <w:sz w:val="24"/>
          <w:szCs w:val="24"/>
          <w:u w:val="single"/>
        </w:rPr>
        <w:t>a</w:t>
      </w: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uvjetima ovog natječaja prihvatljivi su ponuditelji</w:t>
      </w:r>
      <w:r w:rsidR="0023337E">
        <w:rPr>
          <w:rFonts w:ascii="Arial" w:hAnsi="Arial" w:cs="Arial"/>
          <w:sz w:val="24"/>
          <w:szCs w:val="24"/>
        </w:rPr>
        <w:t>:</w:t>
      </w:r>
    </w:p>
    <w:p w:rsidR="0023337E" w:rsidRDefault="0023337E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obrtnici</w:t>
      </w:r>
    </w:p>
    <w:p w:rsidR="00696FB0" w:rsidRDefault="00696FB0" w:rsidP="00696FB0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pravne osobe koje su dobrovoljni čl</w:t>
      </w:r>
      <w:r w:rsidR="0023337E">
        <w:rPr>
          <w:rFonts w:ascii="Arial" w:hAnsi="Arial" w:cs="Arial"/>
          <w:sz w:val="24"/>
          <w:szCs w:val="24"/>
        </w:rPr>
        <w:t>anovi Hrvatske obrtničke komore</w:t>
      </w:r>
    </w:p>
    <w:p w:rsidR="00E10141" w:rsidRDefault="00E10141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Prihvatljivi ponuditelji moraju obavljati registriranu djelatnost temeljem koje su ovlašteni pružati usluge koje su predmet ovog natječaja te ispunjavati sljedeće uvjete:</w:t>
      </w:r>
    </w:p>
    <w:p w:rsidR="0023337E" w:rsidRDefault="0023337E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Default="00696FB0" w:rsidP="00696FB0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5B14">
        <w:rPr>
          <w:rFonts w:ascii="Arial" w:hAnsi="Arial" w:cs="Arial"/>
          <w:sz w:val="24"/>
          <w:szCs w:val="24"/>
        </w:rPr>
        <w:t xml:space="preserve">posjedovati Certifikat na Google ili Microsoft Oblak platformi: "Google Certified Professional Cloud Architect" ili "Microsoft Azure Solutions Architect" za minimalno jednog vlasnika/zaposlenika (više na </w:t>
      </w:r>
      <w:hyperlink r:id="rId10" w:history="1">
        <w:r w:rsidRPr="004F5B14">
          <w:rPr>
            <w:rStyle w:val="Hiperveza"/>
            <w:rFonts w:ascii="Arial" w:hAnsi="Arial" w:cs="Arial"/>
            <w:sz w:val="24"/>
            <w:szCs w:val="24"/>
          </w:rPr>
          <w:t>https://cloud.google.com/certification/</w:t>
        </w:r>
      </w:hyperlink>
      <w:r w:rsidRPr="004F5B14">
        <w:rPr>
          <w:rFonts w:ascii="Arial" w:hAnsi="Arial" w:cs="Arial"/>
          <w:sz w:val="24"/>
          <w:szCs w:val="24"/>
        </w:rPr>
        <w:t xml:space="preserve"> ili na </w:t>
      </w:r>
      <w:hyperlink r:id="rId11" w:history="1">
        <w:r w:rsidRPr="004F5B14">
          <w:rPr>
            <w:rStyle w:val="Hiperveza"/>
            <w:rFonts w:ascii="Arial" w:hAnsi="Arial" w:cs="Arial"/>
            <w:sz w:val="24"/>
            <w:szCs w:val="24"/>
          </w:rPr>
          <w:t>https://www.microsoft.com/en-us/learning/mcsd-azure-architect-certification.aspx</w:t>
        </w:r>
      </w:hyperlink>
      <w:r w:rsidRPr="004F5B14">
        <w:rPr>
          <w:rFonts w:ascii="Arial" w:hAnsi="Arial" w:cs="Arial"/>
          <w:sz w:val="24"/>
          <w:szCs w:val="24"/>
        </w:rPr>
        <w:t>)</w:t>
      </w:r>
      <w:r w:rsidR="00074A94">
        <w:rPr>
          <w:rFonts w:ascii="Arial" w:hAnsi="Arial" w:cs="Arial"/>
          <w:sz w:val="24"/>
          <w:szCs w:val="24"/>
        </w:rPr>
        <w:t xml:space="preserve">. Opcionalno </w:t>
      </w:r>
      <w:r w:rsidR="0029385A">
        <w:rPr>
          <w:rFonts w:ascii="Arial" w:hAnsi="Arial" w:cs="Arial"/>
          <w:sz w:val="24"/>
          <w:szCs w:val="24"/>
        </w:rPr>
        <w:t xml:space="preserve">se ostavlja mogućnost Ponuditelju </w:t>
      </w:r>
      <w:r w:rsidR="0023337E">
        <w:rPr>
          <w:rFonts w:ascii="Arial" w:hAnsi="Arial" w:cs="Arial"/>
          <w:sz w:val="24"/>
          <w:szCs w:val="24"/>
        </w:rPr>
        <w:t>predložiti</w:t>
      </w:r>
      <w:r w:rsidR="00074A94">
        <w:rPr>
          <w:rFonts w:ascii="Arial" w:hAnsi="Arial" w:cs="Arial"/>
          <w:sz w:val="24"/>
          <w:szCs w:val="24"/>
        </w:rPr>
        <w:t xml:space="preserve"> način i lokaciju za izvođenje </w:t>
      </w:r>
      <w:r w:rsidR="00074A94" w:rsidRPr="00074A94">
        <w:rPr>
          <w:rFonts w:ascii="Arial" w:hAnsi="Arial" w:cs="Arial"/>
          <w:sz w:val="24"/>
          <w:szCs w:val="24"/>
        </w:rPr>
        <w:t>poslužiteljsk</w:t>
      </w:r>
      <w:r w:rsidR="00074A94">
        <w:rPr>
          <w:rFonts w:ascii="Arial" w:hAnsi="Arial" w:cs="Arial"/>
          <w:sz w:val="24"/>
          <w:szCs w:val="24"/>
        </w:rPr>
        <w:t>og</w:t>
      </w:r>
      <w:r w:rsidR="00074A94" w:rsidRPr="00074A94">
        <w:rPr>
          <w:rFonts w:ascii="Arial" w:hAnsi="Arial" w:cs="Arial"/>
          <w:sz w:val="24"/>
          <w:szCs w:val="24"/>
        </w:rPr>
        <w:t xml:space="preserve"> </w:t>
      </w:r>
      <w:r w:rsidR="00074A94">
        <w:rPr>
          <w:rFonts w:ascii="Arial" w:hAnsi="Arial" w:cs="Arial"/>
          <w:sz w:val="24"/>
          <w:szCs w:val="24"/>
        </w:rPr>
        <w:t xml:space="preserve">dijela </w:t>
      </w:r>
      <w:r w:rsidR="00074A94" w:rsidRPr="00074A94">
        <w:rPr>
          <w:rFonts w:ascii="Arial" w:hAnsi="Arial" w:cs="Arial"/>
          <w:sz w:val="24"/>
          <w:szCs w:val="24"/>
        </w:rPr>
        <w:t>aplikacije</w:t>
      </w:r>
    </w:p>
    <w:p w:rsidR="00696FB0" w:rsidRPr="00F55134" w:rsidRDefault="00696FB0" w:rsidP="00696FB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55134">
        <w:rPr>
          <w:rFonts w:ascii="Arial" w:hAnsi="Arial" w:cs="Arial"/>
          <w:sz w:val="24"/>
          <w:szCs w:val="24"/>
        </w:rPr>
        <w:t xml:space="preserve">predočiti </w:t>
      </w:r>
      <w:r>
        <w:rPr>
          <w:rFonts w:ascii="Arial" w:hAnsi="Arial" w:cs="Arial"/>
          <w:sz w:val="24"/>
          <w:szCs w:val="24"/>
        </w:rPr>
        <w:t>r</w:t>
      </w:r>
      <w:r w:rsidRPr="00F55134">
        <w:rPr>
          <w:rFonts w:ascii="Arial" w:hAnsi="Arial" w:cs="Arial"/>
          <w:sz w:val="24"/>
          <w:szCs w:val="24"/>
        </w:rPr>
        <w:t xml:space="preserve">eference na projektima </w:t>
      </w:r>
      <w:r>
        <w:rPr>
          <w:rFonts w:ascii="Arial" w:hAnsi="Arial" w:cs="Arial"/>
          <w:sz w:val="24"/>
          <w:szCs w:val="24"/>
        </w:rPr>
        <w:t xml:space="preserve">izrade Mobilnih aplikacija u Republici Hrvatskoj i osigurati </w:t>
      </w:r>
      <w:r w:rsidR="00A74B56">
        <w:rPr>
          <w:rFonts w:ascii="Arial" w:hAnsi="Arial" w:cs="Arial"/>
          <w:sz w:val="24"/>
          <w:szCs w:val="24"/>
        </w:rPr>
        <w:t xml:space="preserve">preporuke </w:t>
      </w:r>
      <w:r>
        <w:rPr>
          <w:rFonts w:ascii="Arial" w:hAnsi="Arial" w:cs="Arial"/>
          <w:sz w:val="24"/>
          <w:szCs w:val="24"/>
        </w:rPr>
        <w:t>n</w:t>
      </w:r>
      <w:r w:rsidR="0023337E">
        <w:rPr>
          <w:rFonts w:ascii="Arial" w:hAnsi="Arial" w:cs="Arial"/>
          <w:sz w:val="24"/>
          <w:szCs w:val="24"/>
        </w:rPr>
        <w:t>aručitelja</w:t>
      </w:r>
    </w:p>
    <w:p w:rsidR="00696FB0" w:rsidRPr="00F55134" w:rsidRDefault="00696FB0" w:rsidP="00696FB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55134">
        <w:rPr>
          <w:rFonts w:ascii="Arial" w:hAnsi="Arial" w:cs="Arial"/>
          <w:sz w:val="24"/>
          <w:szCs w:val="24"/>
        </w:rPr>
        <w:t xml:space="preserve">osigurati </w:t>
      </w:r>
      <w:r>
        <w:rPr>
          <w:rFonts w:ascii="Arial" w:hAnsi="Arial" w:cs="Arial"/>
          <w:sz w:val="24"/>
          <w:szCs w:val="24"/>
        </w:rPr>
        <w:t>pružanje</w:t>
      </w:r>
      <w:r w:rsidRPr="00F55134">
        <w:rPr>
          <w:rFonts w:ascii="Arial" w:hAnsi="Arial" w:cs="Arial"/>
          <w:sz w:val="24"/>
          <w:szCs w:val="24"/>
        </w:rPr>
        <w:t xml:space="preserve"> usluge korisničke po</w:t>
      </w:r>
      <w:r w:rsidR="00A74B56">
        <w:rPr>
          <w:rFonts w:ascii="Arial" w:hAnsi="Arial" w:cs="Arial"/>
          <w:sz w:val="24"/>
          <w:szCs w:val="24"/>
        </w:rPr>
        <w:t>drške po režimu</w:t>
      </w:r>
      <w:r>
        <w:rPr>
          <w:rFonts w:ascii="Arial" w:hAnsi="Arial" w:cs="Arial"/>
          <w:sz w:val="24"/>
          <w:szCs w:val="24"/>
        </w:rPr>
        <w:t xml:space="preserve"> 24/7/365 </w:t>
      </w:r>
    </w:p>
    <w:p w:rsidR="00696FB0" w:rsidRPr="004F5B14" w:rsidRDefault="00696FB0" w:rsidP="00696FB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imati likvidno poslovanje i biti solventni tj. unatrag godinu dana od dana objave ovog natječaja ne smiju biti pod o</w:t>
      </w:r>
      <w:r w:rsidR="00A74B56">
        <w:rPr>
          <w:rFonts w:ascii="Arial" w:hAnsi="Arial" w:cs="Arial"/>
          <w:sz w:val="24"/>
          <w:szCs w:val="24"/>
        </w:rPr>
        <w:t>vrhom ili imati blokiran</w:t>
      </w:r>
      <w:r w:rsidR="0023337E">
        <w:rPr>
          <w:rFonts w:ascii="Arial" w:hAnsi="Arial" w:cs="Arial"/>
          <w:sz w:val="24"/>
          <w:szCs w:val="24"/>
        </w:rPr>
        <w:t xml:space="preserve"> račun</w:t>
      </w:r>
    </w:p>
    <w:p w:rsidR="00696FB0" w:rsidRPr="00B14342" w:rsidRDefault="00696FB0" w:rsidP="00696FB0">
      <w:pPr>
        <w:rPr>
          <w:rFonts w:ascii="Arial" w:hAnsi="Arial" w:cs="Arial"/>
          <w:sz w:val="16"/>
          <w:szCs w:val="16"/>
        </w:rPr>
      </w:pPr>
    </w:p>
    <w:p w:rsidR="0029385A" w:rsidRDefault="0029385A" w:rsidP="00696FB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3337E" w:rsidRDefault="0023337E" w:rsidP="00696FB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6FB0" w:rsidRPr="00B14342" w:rsidRDefault="00696FB0" w:rsidP="00696FB0">
      <w:pPr>
        <w:jc w:val="both"/>
        <w:rPr>
          <w:rFonts w:ascii="Arial" w:hAnsi="Arial" w:cs="Arial"/>
          <w:sz w:val="24"/>
          <w:szCs w:val="24"/>
          <w:u w:val="single"/>
        </w:rPr>
      </w:pPr>
      <w:r w:rsidRPr="00B14342">
        <w:rPr>
          <w:rFonts w:ascii="Arial" w:hAnsi="Arial" w:cs="Arial"/>
          <w:sz w:val="24"/>
          <w:szCs w:val="24"/>
          <w:u w:val="single"/>
        </w:rPr>
        <w:t>2. Kriteriji za isključenje</w:t>
      </w: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okviru ovog natječaja ne može biti odabran ponuditelj koji:</w:t>
      </w:r>
    </w:p>
    <w:p w:rsidR="0023337E" w:rsidRDefault="0023337E" w:rsidP="00696FB0">
      <w:pPr>
        <w:jc w:val="both"/>
        <w:rPr>
          <w:rFonts w:ascii="Arial" w:hAnsi="Arial" w:cs="Arial"/>
          <w:sz w:val="24"/>
          <w:szCs w:val="24"/>
        </w:rPr>
      </w:pPr>
    </w:p>
    <w:p w:rsidR="00A74B56" w:rsidRDefault="00A74B56" w:rsidP="00696FB0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dugovanja prema Hrvatskoj obrtničkoj komori</w:t>
      </w:r>
    </w:p>
    <w:p w:rsidR="00696FB0" w:rsidRPr="0024365A" w:rsidRDefault="00696FB0" w:rsidP="00696FB0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365A">
        <w:rPr>
          <w:rFonts w:ascii="Arial" w:hAnsi="Arial" w:cs="Arial"/>
          <w:sz w:val="24"/>
          <w:szCs w:val="24"/>
        </w:rPr>
        <w:t>ima izrečenu mjeru Suda časti HOK-a.</w:t>
      </w:r>
    </w:p>
    <w:p w:rsidR="00696FB0" w:rsidRDefault="00696FB0" w:rsidP="00696FB0">
      <w:pPr>
        <w:jc w:val="both"/>
        <w:rPr>
          <w:rFonts w:ascii="Arial" w:hAnsi="Arial" w:cs="Arial"/>
          <w:sz w:val="24"/>
          <w:szCs w:val="24"/>
        </w:rPr>
      </w:pPr>
    </w:p>
    <w:p w:rsidR="00696FB0" w:rsidRPr="00F55134" w:rsidRDefault="00696FB0" w:rsidP="00696FB0">
      <w:pPr>
        <w:jc w:val="both"/>
        <w:rPr>
          <w:rFonts w:ascii="Arial" w:hAnsi="Arial" w:cs="Arial"/>
          <w:b/>
          <w:sz w:val="24"/>
          <w:szCs w:val="24"/>
        </w:rPr>
      </w:pPr>
      <w:r w:rsidRPr="00F55134">
        <w:rPr>
          <w:rFonts w:ascii="Arial" w:hAnsi="Arial" w:cs="Arial"/>
          <w:b/>
          <w:sz w:val="24"/>
          <w:szCs w:val="24"/>
        </w:rPr>
        <w:t>Sadržaj ponude</w:t>
      </w:r>
    </w:p>
    <w:p w:rsidR="00696FB0" w:rsidRPr="00B14342" w:rsidRDefault="00696FB0" w:rsidP="00696FB0">
      <w:pPr>
        <w:jc w:val="both"/>
        <w:rPr>
          <w:rFonts w:ascii="Arial" w:hAnsi="Arial" w:cs="Arial"/>
          <w:sz w:val="16"/>
          <w:szCs w:val="16"/>
        </w:rPr>
      </w:pPr>
    </w:p>
    <w:p w:rsidR="00696FB0" w:rsidRPr="00B14342" w:rsidRDefault="00696FB0" w:rsidP="00696FB0">
      <w:pPr>
        <w:rPr>
          <w:rFonts w:ascii="Arial" w:hAnsi="Arial" w:cs="Arial"/>
          <w:sz w:val="24"/>
          <w:szCs w:val="24"/>
          <w:u w:val="single"/>
        </w:rPr>
      </w:pPr>
      <w:r w:rsidRPr="00B14342">
        <w:rPr>
          <w:rFonts w:ascii="Arial" w:hAnsi="Arial" w:cs="Arial"/>
          <w:sz w:val="24"/>
          <w:szCs w:val="24"/>
          <w:u w:val="single"/>
        </w:rPr>
        <w:t>Prilozi / dokazi</w:t>
      </w:r>
    </w:p>
    <w:p w:rsidR="00696FB0" w:rsidRDefault="00696FB0" w:rsidP="00696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ponudu je obavezno priložiti dokaze kojima se dokazuje prihvatljivost ponuditelja:</w:t>
      </w:r>
    </w:p>
    <w:p w:rsidR="0023337E" w:rsidRDefault="0023337E" w:rsidP="00696FB0">
      <w:pPr>
        <w:rPr>
          <w:rFonts w:ascii="Arial" w:hAnsi="Arial" w:cs="Arial"/>
          <w:sz w:val="24"/>
          <w:szCs w:val="24"/>
        </w:rPr>
      </w:pPr>
    </w:p>
    <w:p w:rsidR="00696FB0" w:rsidRPr="0024365A" w:rsidRDefault="00696FB0" w:rsidP="00696FB0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65A">
        <w:rPr>
          <w:rFonts w:ascii="Arial" w:hAnsi="Arial" w:cs="Arial"/>
          <w:sz w:val="24"/>
          <w:szCs w:val="24"/>
        </w:rPr>
        <w:t>kopija certifikata na Google ili Microsoft Oblak platformi: "Google Certified Professional Cloud Architect" ili "Microsoft Azure Solutions Architect".</w:t>
      </w:r>
      <w:r>
        <w:rPr>
          <w:rFonts w:ascii="Arial" w:hAnsi="Arial" w:cs="Arial"/>
          <w:sz w:val="24"/>
          <w:szCs w:val="24"/>
        </w:rPr>
        <w:t xml:space="preserve"> A</w:t>
      </w:r>
      <w:r w:rsidRPr="0024365A">
        <w:rPr>
          <w:rFonts w:ascii="Arial" w:hAnsi="Arial" w:cs="Arial"/>
          <w:sz w:val="24"/>
          <w:szCs w:val="24"/>
        </w:rPr>
        <w:t xml:space="preserve">ko certifikat glasi na radnika, ugovor o radu s radnikom na kojega certifikat glasi </w:t>
      </w:r>
    </w:p>
    <w:p w:rsidR="00696FB0" w:rsidRDefault="00A74B56" w:rsidP="00696FB0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referentna lista</w:t>
      </w:r>
      <w:r w:rsidR="00696FB0">
        <w:rPr>
          <w:rFonts w:ascii="Arial" w:hAnsi="Arial" w:cs="Arial"/>
          <w:sz w:val="24"/>
          <w:szCs w:val="24"/>
        </w:rPr>
        <w:t xml:space="preserve"> i preporuke naručitelja</w:t>
      </w:r>
    </w:p>
    <w:p w:rsidR="00696FB0" w:rsidRDefault="00A74B56" w:rsidP="00696FB0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</w:t>
      </w:r>
      <w:r w:rsidR="00696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osigurane </w:t>
      </w:r>
      <w:r w:rsidR="00696FB0">
        <w:rPr>
          <w:rFonts w:ascii="Arial" w:hAnsi="Arial" w:cs="Arial"/>
          <w:sz w:val="24"/>
          <w:szCs w:val="24"/>
        </w:rPr>
        <w:t>korisn</w:t>
      </w:r>
      <w:r>
        <w:rPr>
          <w:rFonts w:ascii="Arial" w:hAnsi="Arial" w:cs="Arial"/>
          <w:sz w:val="24"/>
          <w:szCs w:val="24"/>
        </w:rPr>
        <w:t xml:space="preserve">ičke podrške po </w:t>
      </w:r>
      <w:r w:rsidR="00696FB0">
        <w:rPr>
          <w:rFonts w:ascii="Arial" w:hAnsi="Arial" w:cs="Arial"/>
          <w:sz w:val="24"/>
          <w:szCs w:val="24"/>
        </w:rPr>
        <w:t xml:space="preserve">24/7/365 </w:t>
      </w:r>
      <w:r>
        <w:rPr>
          <w:rFonts w:ascii="Arial" w:hAnsi="Arial" w:cs="Arial"/>
          <w:sz w:val="24"/>
          <w:szCs w:val="24"/>
        </w:rPr>
        <w:t>režimu</w:t>
      </w:r>
    </w:p>
    <w:p w:rsidR="0029385A" w:rsidRPr="00544E31" w:rsidRDefault="008B6E3F" w:rsidP="00544E31">
      <w:pPr>
        <w:pStyle w:val="Odlomakpopis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izdana</w:t>
      </w:r>
      <w:r w:rsidR="00696FB0" w:rsidRPr="00544E31">
        <w:rPr>
          <w:rFonts w:ascii="Arial" w:hAnsi="Arial" w:cs="Arial"/>
          <w:sz w:val="24"/>
          <w:szCs w:val="24"/>
        </w:rPr>
        <w:t xml:space="preserve"> od banke i/ili druge financijske institucije za sve poslovne račune, kojom se dokazuje solventnost i likvidnost gospodarskog subjekta </w:t>
      </w:r>
      <w:r w:rsidR="00696FB0" w:rsidRPr="00544E31">
        <w:rPr>
          <w:rFonts w:ascii="Arial" w:hAnsi="Arial" w:cs="Arial"/>
          <w:bCs/>
          <w:sz w:val="24"/>
          <w:szCs w:val="24"/>
        </w:rPr>
        <w:t>(BON 2) i iz koje</w:t>
      </w:r>
      <w:r w:rsidR="00696FB0" w:rsidRPr="00544E31">
        <w:rPr>
          <w:rFonts w:ascii="Arial" w:hAnsi="Arial" w:cs="Arial"/>
          <w:sz w:val="24"/>
          <w:szCs w:val="24"/>
        </w:rPr>
        <w:t xml:space="preserve"> mora biti vidljivo da ponuditelj nije bio u blokadi tijekom posljednjih 12 (dvanaest) mjeseci.</w:t>
      </w:r>
    </w:p>
    <w:p w:rsidR="00502EEB" w:rsidRDefault="00696FB0" w:rsidP="00196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treba sadržavati mogućnost ugovaranja </w:t>
      </w:r>
      <w:r w:rsidRPr="0024365A">
        <w:rPr>
          <w:rFonts w:ascii="Arial" w:hAnsi="Arial" w:cs="Arial"/>
          <w:sz w:val="24"/>
          <w:szCs w:val="24"/>
        </w:rPr>
        <w:t>izvođenja aplikacije s rokovima izvršenja izraženih u mjesecima po modulima aplikacije</w:t>
      </w:r>
      <w:r w:rsidR="0023337E">
        <w:rPr>
          <w:rFonts w:ascii="Arial" w:hAnsi="Arial" w:cs="Arial"/>
          <w:sz w:val="24"/>
          <w:szCs w:val="24"/>
        </w:rPr>
        <w:t>,</w:t>
      </w:r>
      <w:r w:rsidRPr="0024365A">
        <w:rPr>
          <w:rFonts w:ascii="Arial" w:hAnsi="Arial" w:cs="Arial"/>
          <w:sz w:val="24"/>
          <w:szCs w:val="24"/>
        </w:rPr>
        <w:t xml:space="preserve"> s istaknutim cijenama po modulu, cijenama održavanja, edukacije i korisničke podrške, kao i naznakom da će plaćanje biti izvršeno po realizaciji pojedinog modula</w:t>
      </w:r>
      <w:r>
        <w:rPr>
          <w:rFonts w:ascii="Arial" w:hAnsi="Arial" w:cs="Arial"/>
          <w:sz w:val="24"/>
          <w:szCs w:val="24"/>
        </w:rPr>
        <w:t>.</w:t>
      </w:r>
    </w:p>
    <w:p w:rsidR="00696FB0" w:rsidRDefault="00074A94" w:rsidP="00544E3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4A94" w:rsidRDefault="00074A94" w:rsidP="00196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74A94">
        <w:rPr>
          <w:rFonts w:ascii="Arial" w:hAnsi="Arial" w:cs="Arial"/>
          <w:sz w:val="24"/>
          <w:szCs w:val="24"/>
        </w:rPr>
        <w:t xml:space="preserve">laćanje </w:t>
      </w:r>
      <w:r>
        <w:rPr>
          <w:rFonts w:ascii="Arial" w:hAnsi="Arial" w:cs="Arial"/>
          <w:sz w:val="24"/>
          <w:szCs w:val="24"/>
        </w:rPr>
        <w:t xml:space="preserve">programskog rješenja </w:t>
      </w:r>
      <w:r w:rsidR="0023337E">
        <w:rPr>
          <w:rFonts w:ascii="Arial" w:hAnsi="Arial" w:cs="Arial"/>
          <w:sz w:val="24"/>
          <w:szCs w:val="24"/>
        </w:rPr>
        <w:t>bit</w:t>
      </w:r>
      <w:r w:rsidRPr="00074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će </w:t>
      </w:r>
      <w:r w:rsidRPr="00074A94">
        <w:rPr>
          <w:rFonts w:ascii="Arial" w:hAnsi="Arial" w:cs="Arial"/>
          <w:sz w:val="24"/>
          <w:szCs w:val="24"/>
        </w:rPr>
        <w:t>izvršeno po realizaciji pojedinog modula, a za korektno</w:t>
      </w:r>
      <w:r w:rsidR="0023337E">
        <w:rPr>
          <w:rFonts w:ascii="Arial" w:hAnsi="Arial" w:cs="Arial"/>
          <w:sz w:val="24"/>
          <w:szCs w:val="24"/>
        </w:rPr>
        <w:t>,</w:t>
      </w:r>
      <w:r w:rsidRPr="00074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odnosno </w:t>
      </w:r>
      <w:r w:rsidRPr="00074A94">
        <w:rPr>
          <w:rFonts w:ascii="Arial" w:hAnsi="Arial" w:cs="Arial"/>
          <w:sz w:val="24"/>
          <w:szCs w:val="24"/>
        </w:rPr>
        <w:t>pravovremeno i kvalitetno izvršenje</w:t>
      </w:r>
      <w:r w:rsidR="0023337E">
        <w:rPr>
          <w:rFonts w:ascii="Arial" w:hAnsi="Arial" w:cs="Arial"/>
          <w:sz w:val="24"/>
          <w:szCs w:val="24"/>
        </w:rPr>
        <w:t>,</w:t>
      </w:r>
      <w:r w:rsidRPr="00074A94">
        <w:rPr>
          <w:rFonts w:ascii="Arial" w:hAnsi="Arial" w:cs="Arial"/>
          <w:sz w:val="24"/>
          <w:szCs w:val="24"/>
        </w:rPr>
        <w:t xml:space="preserve"> </w:t>
      </w:r>
      <w:r w:rsidR="00502EEB">
        <w:rPr>
          <w:rFonts w:ascii="Arial" w:hAnsi="Arial" w:cs="Arial"/>
          <w:sz w:val="24"/>
          <w:szCs w:val="24"/>
        </w:rPr>
        <w:t xml:space="preserve">odabrani Ponuditelj </w:t>
      </w:r>
      <w:r w:rsidRPr="00074A94">
        <w:rPr>
          <w:rFonts w:ascii="Arial" w:hAnsi="Arial" w:cs="Arial"/>
          <w:sz w:val="24"/>
          <w:szCs w:val="24"/>
        </w:rPr>
        <w:t>odgovara zadužnicom</w:t>
      </w:r>
      <w:r w:rsidR="008B6E3F">
        <w:rPr>
          <w:rFonts w:ascii="Arial" w:hAnsi="Arial" w:cs="Arial"/>
          <w:sz w:val="24"/>
          <w:szCs w:val="24"/>
        </w:rPr>
        <w:t xml:space="preserve">, </w:t>
      </w:r>
      <w:r w:rsidRPr="00074A94">
        <w:rPr>
          <w:rFonts w:ascii="Arial" w:hAnsi="Arial" w:cs="Arial"/>
          <w:sz w:val="24"/>
          <w:szCs w:val="24"/>
        </w:rPr>
        <w:t>uz definirane penale i eventualne uvjete za raskid ugovora o trošku izvođača</w:t>
      </w:r>
      <w:r w:rsidR="00502EEB">
        <w:rPr>
          <w:rFonts w:ascii="Arial" w:hAnsi="Arial" w:cs="Arial"/>
          <w:sz w:val="24"/>
          <w:szCs w:val="24"/>
        </w:rPr>
        <w:t>.</w:t>
      </w:r>
    </w:p>
    <w:p w:rsidR="00696FB0" w:rsidRDefault="00696FB0" w:rsidP="00696FB0">
      <w:pPr>
        <w:rPr>
          <w:rFonts w:ascii="Arial" w:hAnsi="Arial" w:cs="Arial"/>
          <w:sz w:val="24"/>
          <w:szCs w:val="24"/>
        </w:rPr>
      </w:pPr>
    </w:p>
    <w:p w:rsidR="001A3317" w:rsidRDefault="00196181" w:rsidP="00696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se treba obvezati kako će </w:t>
      </w:r>
      <w:r w:rsidR="001A3317" w:rsidRPr="001A3317">
        <w:rPr>
          <w:rFonts w:ascii="Arial" w:hAnsi="Arial" w:cs="Arial"/>
          <w:sz w:val="24"/>
          <w:szCs w:val="24"/>
        </w:rPr>
        <w:t>proizve</w:t>
      </w:r>
      <w:r w:rsidR="008B6E3F">
        <w:rPr>
          <w:rFonts w:ascii="Arial" w:hAnsi="Arial" w:cs="Arial"/>
          <w:sz w:val="24"/>
          <w:szCs w:val="24"/>
        </w:rPr>
        <w:t>deni kod detaljno dokumentirati</w:t>
      </w:r>
      <w:r w:rsidR="001A3317" w:rsidRPr="001A3317">
        <w:rPr>
          <w:rFonts w:ascii="Arial" w:hAnsi="Arial" w:cs="Arial"/>
          <w:sz w:val="24"/>
          <w:szCs w:val="24"/>
        </w:rPr>
        <w:t xml:space="preserve"> te da su kod i dokumentacija isključivo vlasništvo naručitelja</w:t>
      </w:r>
      <w:r w:rsidR="001A3317">
        <w:rPr>
          <w:rFonts w:ascii="Arial" w:hAnsi="Arial" w:cs="Arial"/>
          <w:sz w:val="24"/>
          <w:szCs w:val="24"/>
        </w:rPr>
        <w:t>.</w:t>
      </w:r>
    </w:p>
    <w:p w:rsidR="001A3317" w:rsidRDefault="001A3317" w:rsidP="00696FB0">
      <w:pPr>
        <w:rPr>
          <w:rFonts w:ascii="Arial" w:hAnsi="Arial" w:cs="Arial"/>
          <w:sz w:val="24"/>
          <w:szCs w:val="24"/>
        </w:rPr>
      </w:pPr>
    </w:p>
    <w:p w:rsidR="00196181" w:rsidRDefault="00196181" w:rsidP="00696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Specifikacija za funkcionalni zahtjev naveden pod rednim brojem 10, bit će razvijena zajedno s odabranim </w:t>
      </w:r>
      <w:r w:rsidRPr="00196181">
        <w:rPr>
          <w:rFonts w:ascii="Arial" w:hAnsi="Arial" w:cs="Arial"/>
          <w:sz w:val="24"/>
          <w:szCs w:val="24"/>
        </w:rPr>
        <w:t>Ponuditeljem</w:t>
      </w:r>
      <w:r>
        <w:rPr>
          <w:rFonts w:ascii="Arial" w:hAnsi="Arial" w:cs="Arial"/>
          <w:sz w:val="24"/>
          <w:szCs w:val="24"/>
        </w:rPr>
        <w:t>.</w:t>
      </w:r>
    </w:p>
    <w:p w:rsidR="00196181" w:rsidRPr="0024365A" w:rsidRDefault="00196181" w:rsidP="00696FB0">
      <w:pPr>
        <w:rPr>
          <w:rFonts w:ascii="Arial" w:hAnsi="Arial" w:cs="Arial"/>
          <w:sz w:val="24"/>
          <w:szCs w:val="24"/>
        </w:rPr>
      </w:pPr>
    </w:p>
    <w:p w:rsidR="00696FB0" w:rsidRDefault="00696FB0" w:rsidP="00196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Prihvatljivost ponuditelja i kriteriji za isključenje provjeravat će se temeljem priloženih dokaza i podataka iz evidencija </w:t>
      </w:r>
      <w:r w:rsidR="00502EE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aručitelja.</w:t>
      </w:r>
    </w:p>
    <w:p w:rsidR="00696FB0" w:rsidRPr="00B14342" w:rsidRDefault="00696FB0" w:rsidP="00696FB0">
      <w:pPr>
        <w:rPr>
          <w:rFonts w:ascii="Arial" w:hAnsi="Arial" w:cs="Arial"/>
          <w:sz w:val="16"/>
          <w:szCs w:val="16"/>
        </w:rPr>
      </w:pPr>
    </w:p>
    <w:p w:rsidR="00696FB0" w:rsidRPr="00A056B3" w:rsidRDefault="00696FB0" w:rsidP="00196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potrebe, tijekom postupka odabira</w:t>
      </w:r>
      <w:r w:rsidR="008B6E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44E3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aručitelj može od </w:t>
      </w:r>
      <w:r w:rsidR="00502EE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onuditelja zatražiti i dodatne dokumente i pojašnjenja.</w:t>
      </w:r>
    </w:p>
    <w:p w:rsidR="00912350" w:rsidRDefault="00912350" w:rsidP="00912350">
      <w:pPr>
        <w:rPr>
          <w:rFonts w:ascii="Arial" w:hAnsi="Arial" w:cs="Arial"/>
          <w:sz w:val="24"/>
          <w:szCs w:val="24"/>
        </w:rPr>
      </w:pPr>
    </w:p>
    <w:p w:rsidR="00906E06" w:rsidRPr="00906E06" w:rsidRDefault="00906E06" w:rsidP="00906E06">
      <w:pPr>
        <w:jc w:val="both"/>
        <w:rPr>
          <w:rFonts w:ascii="Arial" w:hAnsi="Arial" w:cs="Arial"/>
          <w:sz w:val="24"/>
          <w:szCs w:val="24"/>
        </w:rPr>
      </w:pPr>
      <w:r w:rsidRPr="00906E06">
        <w:rPr>
          <w:rFonts w:ascii="Arial" w:hAnsi="Arial" w:cs="Arial"/>
          <w:sz w:val="24"/>
          <w:szCs w:val="24"/>
        </w:rPr>
        <w:t>Hrvatska obrtnička komora nije obveznik Zakona o javnoj nabavi.</w:t>
      </w:r>
    </w:p>
    <w:p w:rsidR="007230EB" w:rsidRDefault="007230EB" w:rsidP="0091235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96FB0" w:rsidRDefault="00696FB0" w:rsidP="0091235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6FB0">
        <w:rPr>
          <w:rFonts w:ascii="Arial" w:hAnsi="Arial" w:cs="Arial"/>
          <w:b/>
          <w:sz w:val="24"/>
          <w:szCs w:val="24"/>
        </w:rPr>
        <w:t xml:space="preserve">Naziv projekta:  </w:t>
      </w:r>
      <w:r w:rsidR="0023337E">
        <w:rPr>
          <w:rFonts w:ascii="Arial" w:hAnsi="Arial" w:cs="Arial"/>
          <w:sz w:val="24"/>
          <w:szCs w:val="24"/>
        </w:rPr>
        <w:t>M</w:t>
      </w:r>
      <w:r w:rsidRPr="00696FB0">
        <w:rPr>
          <w:rFonts w:ascii="Arial" w:hAnsi="Arial" w:cs="Arial"/>
          <w:sz w:val="24"/>
          <w:szCs w:val="24"/>
        </w:rPr>
        <w:t>obilna platforma za obrtništvo - Digitalna komora</w:t>
      </w:r>
    </w:p>
    <w:p w:rsidR="00912350" w:rsidRPr="007315CA" w:rsidRDefault="00912350" w:rsidP="00912350">
      <w:pPr>
        <w:spacing w:line="360" w:lineRule="auto"/>
        <w:rPr>
          <w:rFonts w:ascii="Arial" w:hAnsi="Arial" w:cs="Arial"/>
          <w:sz w:val="24"/>
          <w:szCs w:val="24"/>
        </w:rPr>
      </w:pPr>
      <w:r w:rsidRPr="00912350">
        <w:rPr>
          <w:rFonts w:ascii="Arial" w:hAnsi="Arial" w:cs="Arial"/>
          <w:b/>
          <w:sz w:val="24"/>
          <w:szCs w:val="24"/>
        </w:rPr>
        <w:t>Nositelj projekta:</w:t>
      </w:r>
      <w:r w:rsidRPr="007315CA">
        <w:rPr>
          <w:rFonts w:ascii="Arial" w:hAnsi="Arial" w:cs="Arial"/>
          <w:sz w:val="24"/>
          <w:szCs w:val="24"/>
        </w:rPr>
        <w:t xml:space="preserve"> Hrvatska obrtnička komora</w:t>
      </w:r>
    </w:p>
    <w:p w:rsidR="00912350" w:rsidRPr="007315CA" w:rsidRDefault="00912350" w:rsidP="0091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50">
        <w:rPr>
          <w:rFonts w:ascii="Arial" w:hAnsi="Arial" w:cs="Arial"/>
          <w:b/>
          <w:sz w:val="24"/>
          <w:szCs w:val="24"/>
        </w:rPr>
        <w:t>Cilj projekta:</w:t>
      </w:r>
      <w:r w:rsidRPr="007315CA">
        <w:rPr>
          <w:rFonts w:ascii="Arial" w:hAnsi="Arial" w:cs="Arial"/>
          <w:sz w:val="24"/>
          <w:szCs w:val="24"/>
        </w:rPr>
        <w:t xml:space="preserve"> Osigurati pravodobnu informaciju svakom obrtniku za njegovu djelatnost i općenito koristeći informacijsko-telekomunikacijsku mobilnu tehnologiju</w:t>
      </w:r>
      <w:r w:rsidR="0023337E">
        <w:rPr>
          <w:rFonts w:ascii="Arial" w:hAnsi="Arial" w:cs="Arial"/>
          <w:sz w:val="24"/>
          <w:szCs w:val="24"/>
        </w:rPr>
        <w:t>.</w:t>
      </w:r>
    </w:p>
    <w:p w:rsidR="00912350" w:rsidRDefault="00912350" w:rsidP="0091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50">
        <w:rPr>
          <w:rFonts w:ascii="Arial" w:hAnsi="Arial" w:cs="Arial"/>
          <w:b/>
          <w:sz w:val="24"/>
          <w:szCs w:val="24"/>
        </w:rPr>
        <w:t>Projektna vizija:</w:t>
      </w:r>
      <w:r w:rsidRPr="007315CA">
        <w:rPr>
          <w:rFonts w:ascii="Arial" w:hAnsi="Arial" w:cs="Arial"/>
          <w:sz w:val="24"/>
          <w:szCs w:val="24"/>
        </w:rPr>
        <w:t xml:space="preserve"> Biti prepoznata poslovna organizacija mikro poduzetništva u regiji po znanju i stručnosti.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2350" w:rsidRPr="007315CA" w:rsidRDefault="00912350" w:rsidP="0091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50">
        <w:rPr>
          <w:rFonts w:ascii="Arial" w:hAnsi="Arial" w:cs="Arial"/>
          <w:b/>
          <w:sz w:val="24"/>
          <w:szCs w:val="24"/>
        </w:rPr>
        <w:t>Projektna misija:</w:t>
      </w:r>
      <w:r w:rsidRPr="007315CA">
        <w:rPr>
          <w:rFonts w:ascii="Arial" w:hAnsi="Arial" w:cs="Arial"/>
          <w:sz w:val="24"/>
          <w:szCs w:val="24"/>
        </w:rPr>
        <w:t xml:space="preserve"> Stvaranje novih usluga s ciljem promicanja obrtničkih i mikro poduzetničkih interesa.</w:t>
      </w:r>
    </w:p>
    <w:p w:rsidR="00912350" w:rsidRPr="007315CA" w:rsidRDefault="00912350" w:rsidP="0091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50">
        <w:rPr>
          <w:rFonts w:ascii="Arial" w:hAnsi="Arial" w:cs="Arial"/>
          <w:b/>
          <w:sz w:val="24"/>
          <w:szCs w:val="24"/>
        </w:rPr>
        <w:t>Rok za izvedbu projekta:</w:t>
      </w:r>
      <w:r w:rsidR="008B6E3F">
        <w:rPr>
          <w:rFonts w:ascii="Arial" w:hAnsi="Arial" w:cs="Arial"/>
          <w:sz w:val="24"/>
          <w:szCs w:val="24"/>
        </w:rPr>
        <w:t xml:space="preserve"> p</w:t>
      </w:r>
      <w:r w:rsidRPr="007315CA">
        <w:rPr>
          <w:rFonts w:ascii="Arial" w:hAnsi="Arial" w:cs="Arial"/>
          <w:sz w:val="24"/>
          <w:szCs w:val="24"/>
        </w:rPr>
        <w:t>rosinac 2018.</w:t>
      </w:r>
    </w:p>
    <w:p w:rsidR="00912350" w:rsidRDefault="007F39AC" w:rsidP="0091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12350" w:rsidRPr="00912350">
        <w:rPr>
          <w:rFonts w:ascii="Arial" w:hAnsi="Arial" w:cs="Arial"/>
          <w:b/>
          <w:sz w:val="24"/>
          <w:szCs w:val="24"/>
        </w:rPr>
        <w:t>nformacije o projektu:</w:t>
      </w:r>
      <w:r w:rsidR="00912350">
        <w:rPr>
          <w:rFonts w:ascii="Arial" w:hAnsi="Arial" w:cs="Arial"/>
          <w:sz w:val="24"/>
          <w:szCs w:val="24"/>
        </w:rPr>
        <w:t xml:space="preserve"> </w:t>
      </w:r>
      <w:r w:rsidR="00912350" w:rsidRPr="007315CA">
        <w:rPr>
          <w:rFonts w:ascii="Arial" w:hAnsi="Arial" w:cs="Arial"/>
          <w:sz w:val="24"/>
          <w:szCs w:val="24"/>
        </w:rPr>
        <w:t>Ovim projektnom, a u svrhu što boljeg  i bržeg informiranja članstva i javnosti, Hrvatska obrtnička komora namjerava putem mobilne aplikacije, koristeći standardizirane komunikacijske protokole mobilne tehnologije, omogućiti dostavu informacija na mobilne telefonske uređaje obrtnika i ostalih zainteresiranih upravnih, medijskih i gospodarsko-interesnih grupa primatelja u Republici Hrvatskoj.  Osim osnovnog informiranja članstva i zainteresirane javnosti, projekt će obuhvatiti dvosmjernu komunikaciju između HOK-a i obrtnika</w:t>
      </w:r>
      <w:r w:rsidR="0023337E">
        <w:rPr>
          <w:rFonts w:ascii="Arial" w:hAnsi="Arial" w:cs="Arial"/>
          <w:sz w:val="24"/>
          <w:szCs w:val="24"/>
        </w:rPr>
        <w:t xml:space="preserve"> </w:t>
      </w:r>
      <w:r w:rsidR="00912350" w:rsidRPr="007315CA">
        <w:rPr>
          <w:rFonts w:ascii="Arial" w:hAnsi="Arial" w:cs="Arial"/>
          <w:sz w:val="24"/>
          <w:szCs w:val="24"/>
        </w:rPr>
        <w:t>(mikro-poduzetnika), kao i mogućnost prezentacije obrtničkih</w:t>
      </w:r>
      <w:r w:rsidR="0023337E">
        <w:rPr>
          <w:rFonts w:ascii="Arial" w:hAnsi="Arial" w:cs="Arial"/>
          <w:sz w:val="24"/>
          <w:szCs w:val="24"/>
        </w:rPr>
        <w:t xml:space="preserve"> </w:t>
      </w:r>
      <w:r w:rsidR="00912350" w:rsidRPr="007315CA">
        <w:rPr>
          <w:rFonts w:ascii="Arial" w:hAnsi="Arial" w:cs="Arial"/>
          <w:sz w:val="24"/>
          <w:szCs w:val="24"/>
        </w:rPr>
        <w:t>(mikro-poduzetničkih) roba i usluga</w:t>
      </w:r>
      <w:r w:rsidR="0023337E">
        <w:rPr>
          <w:rFonts w:ascii="Arial" w:hAnsi="Arial" w:cs="Arial"/>
          <w:sz w:val="24"/>
          <w:szCs w:val="24"/>
        </w:rPr>
        <w:t>,</w:t>
      </w:r>
      <w:r w:rsidR="00912350" w:rsidRPr="007315CA">
        <w:rPr>
          <w:rFonts w:ascii="Arial" w:hAnsi="Arial" w:cs="Arial"/>
          <w:sz w:val="24"/>
          <w:szCs w:val="24"/>
        </w:rPr>
        <w:t xml:space="preserve"> koristeći geolokacijsku pretragu.</w:t>
      </w:r>
    </w:p>
    <w:p w:rsidR="007230EB" w:rsidRDefault="007230EB" w:rsidP="007F39AC">
      <w:pPr>
        <w:rPr>
          <w:rFonts w:ascii="Arial" w:hAnsi="Arial" w:cs="Arial"/>
          <w:b/>
          <w:sz w:val="24"/>
          <w:szCs w:val="24"/>
        </w:rPr>
      </w:pPr>
    </w:p>
    <w:p w:rsidR="00696FB0" w:rsidRPr="007F39AC" w:rsidRDefault="00BC233B" w:rsidP="007F39AC">
      <w:pPr>
        <w:rPr>
          <w:rFonts w:ascii="Arial" w:hAnsi="Arial" w:cs="Arial"/>
          <w:sz w:val="24"/>
          <w:szCs w:val="24"/>
        </w:rPr>
      </w:pPr>
      <w:r w:rsidRPr="00BC233B">
        <w:rPr>
          <w:rFonts w:ascii="Arial" w:hAnsi="Arial" w:cs="Arial"/>
          <w:b/>
          <w:sz w:val="24"/>
          <w:szCs w:val="24"/>
        </w:rPr>
        <w:t>Provedba projekta:</w:t>
      </w:r>
      <w:r>
        <w:rPr>
          <w:rFonts w:ascii="Arial" w:hAnsi="Arial" w:cs="Arial"/>
          <w:sz w:val="24"/>
          <w:szCs w:val="24"/>
        </w:rPr>
        <w:t xml:space="preserve"> </w:t>
      </w:r>
      <w:r w:rsidR="0023337E">
        <w:rPr>
          <w:rFonts w:ascii="Arial" w:hAnsi="Arial" w:cs="Arial"/>
          <w:sz w:val="24"/>
          <w:szCs w:val="24"/>
        </w:rPr>
        <w:t>P</w:t>
      </w:r>
      <w:r w:rsidRPr="007315CA">
        <w:rPr>
          <w:rFonts w:ascii="Arial" w:hAnsi="Arial" w:cs="Arial"/>
          <w:sz w:val="24"/>
          <w:szCs w:val="24"/>
        </w:rPr>
        <w:t xml:space="preserve">rema </w:t>
      </w:r>
      <w:r w:rsidR="00232E0F">
        <w:rPr>
          <w:rFonts w:ascii="Arial" w:hAnsi="Arial" w:cs="Arial"/>
          <w:sz w:val="24"/>
          <w:szCs w:val="24"/>
        </w:rPr>
        <w:t xml:space="preserve">specificiranim </w:t>
      </w:r>
      <w:r>
        <w:rPr>
          <w:rFonts w:ascii="Arial" w:hAnsi="Arial" w:cs="Arial"/>
          <w:sz w:val="24"/>
          <w:szCs w:val="24"/>
        </w:rPr>
        <w:t xml:space="preserve">funkcionalnim </w:t>
      </w:r>
      <w:r w:rsidRPr="007315CA">
        <w:rPr>
          <w:rFonts w:ascii="Arial" w:hAnsi="Arial" w:cs="Arial"/>
          <w:sz w:val="24"/>
          <w:szCs w:val="24"/>
        </w:rPr>
        <w:t>modulima</w:t>
      </w:r>
      <w:r w:rsidR="00232E0F">
        <w:rPr>
          <w:rFonts w:ascii="Arial" w:hAnsi="Arial" w:cs="Arial"/>
          <w:sz w:val="24"/>
          <w:szCs w:val="24"/>
        </w:rPr>
        <w:t>.</w:t>
      </w:r>
    </w:p>
    <w:p w:rsidR="00B41B66" w:rsidRDefault="00B41B66" w:rsidP="0079710C">
      <w:pPr>
        <w:rPr>
          <w:rFonts w:ascii="Arial" w:hAnsi="Arial" w:cs="Arial"/>
          <w:b/>
          <w:sz w:val="24"/>
          <w:szCs w:val="24"/>
        </w:rPr>
      </w:pPr>
    </w:p>
    <w:p w:rsidR="00B41B66" w:rsidRDefault="00B41B66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230EB" w:rsidRDefault="007230EB" w:rsidP="0079710C">
      <w:pPr>
        <w:rPr>
          <w:rFonts w:ascii="Arial" w:hAnsi="Arial" w:cs="Arial"/>
          <w:b/>
          <w:sz w:val="24"/>
          <w:szCs w:val="24"/>
        </w:rPr>
      </w:pPr>
    </w:p>
    <w:p w:rsidR="0079710C" w:rsidRPr="00912350" w:rsidRDefault="00912350" w:rsidP="0079710C">
      <w:pPr>
        <w:rPr>
          <w:rFonts w:ascii="Arial" w:hAnsi="Arial" w:cs="Arial"/>
          <w:b/>
          <w:sz w:val="24"/>
          <w:szCs w:val="24"/>
        </w:rPr>
      </w:pPr>
      <w:r w:rsidRPr="00912350">
        <w:rPr>
          <w:rFonts w:ascii="Arial" w:hAnsi="Arial" w:cs="Arial"/>
          <w:b/>
          <w:sz w:val="24"/>
          <w:szCs w:val="24"/>
        </w:rPr>
        <w:t>F</w:t>
      </w:r>
      <w:r w:rsidR="00DA46A3" w:rsidRPr="00912350">
        <w:rPr>
          <w:rFonts w:ascii="Arial" w:hAnsi="Arial" w:cs="Arial"/>
          <w:b/>
          <w:sz w:val="24"/>
          <w:szCs w:val="24"/>
        </w:rPr>
        <w:t>unkcionalni</w:t>
      </w:r>
      <w:r w:rsidR="0037143C" w:rsidRPr="00912350">
        <w:rPr>
          <w:rFonts w:ascii="Arial" w:hAnsi="Arial" w:cs="Arial"/>
          <w:b/>
          <w:sz w:val="24"/>
          <w:szCs w:val="24"/>
        </w:rPr>
        <w:t xml:space="preserve"> </w:t>
      </w:r>
      <w:r w:rsidR="00BC233B">
        <w:rPr>
          <w:rFonts w:ascii="Arial" w:hAnsi="Arial" w:cs="Arial"/>
          <w:b/>
          <w:sz w:val="24"/>
          <w:szCs w:val="24"/>
        </w:rPr>
        <w:t xml:space="preserve">moduli </w:t>
      </w:r>
      <w:r w:rsidR="0079710C" w:rsidRPr="00912350">
        <w:rPr>
          <w:rFonts w:ascii="Arial" w:hAnsi="Arial" w:cs="Arial"/>
          <w:b/>
          <w:sz w:val="24"/>
          <w:szCs w:val="24"/>
        </w:rPr>
        <w:t>HOK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79710C" w:rsidRPr="00912350">
        <w:rPr>
          <w:rFonts w:ascii="Arial" w:hAnsi="Arial" w:cs="Arial"/>
          <w:b/>
          <w:sz w:val="24"/>
          <w:szCs w:val="24"/>
        </w:rPr>
        <w:t xml:space="preserve">Digitalna komora </w:t>
      </w:r>
    </w:p>
    <w:p w:rsidR="0037143C" w:rsidRDefault="0037143C" w:rsidP="0037143C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732508" w:rsidRPr="00467BE2" w:rsidTr="004A2440">
        <w:tc>
          <w:tcPr>
            <w:tcW w:w="440" w:type="dxa"/>
          </w:tcPr>
          <w:p w:rsidR="00732508" w:rsidRPr="00467BE2" w:rsidRDefault="00656DF8" w:rsidP="004A2440">
            <w:pPr>
              <w:rPr>
                <w:rFonts w:ascii="Arial" w:hAnsi="Arial" w:cs="Arial"/>
                <w:szCs w:val="24"/>
              </w:rPr>
            </w:pPr>
            <w:r w:rsidRPr="00467BE2">
              <w:rPr>
                <w:rFonts w:ascii="Arial" w:hAnsi="Arial" w:cs="Arial"/>
                <w:szCs w:val="24"/>
              </w:rPr>
              <w:t>r</w:t>
            </w:r>
            <w:r w:rsidR="00732508" w:rsidRPr="00467BE2"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2503" w:type="dxa"/>
          </w:tcPr>
          <w:p w:rsidR="00732508" w:rsidRPr="00467BE2" w:rsidRDefault="0023337E" w:rsidP="004A24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732508" w:rsidRPr="00467BE2">
              <w:rPr>
                <w:rFonts w:ascii="Arial" w:hAnsi="Arial" w:cs="Arial"/>
                <w:szCs w:val="24"/>
              </w:rPr>
              <w:t>aziv modula</w:t>
            </w:r>
          </w:p>
        </w:tc>
        <w:tc>
          <w:tcPr>
            <w:tcW w:w="904" w:type="dxa"/>
          </w:tcPr>
          <w:p w:rsidR="00732508" w:rsidRPr="00467BE2" w:rsidRDefault="0023337E" w:rsidP="004A24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732508" w:rsidRPr="00467BE2">
              <w:rPr>
                <w:rFonts w:ascii="Arial" w:hAnsi="Arial" w:cs="Arial"/>
                <w:szCs w:val="24"/>
              </w:rPr>
              <w:t>lan</w:t>
            </w:r>
          </w:p>
        </w:tc>
        <w:tc>
          <w:tcPr>
            <w:tcW w:w="4483" w:type="dxa"/>
          </w:tcPr>
          <w:p w:rsidR="00732508" w:rsidRPr="00467BE2" w:rsidRDefault="0023337E" w:rsidP="004A24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732508" w:rsidRPr="00467BE2">
              <w:rPr>
                <w:rFonts w:ascii="Arial" w:hAnsi="Arial" w:cs="Arial"/>
                <w:szCs w:val="24"/>
              </w:rPr>
              <w:t>pis</w:t>
            </w:r>
          </w:p>
        </w:tc>
        <w:tc>
          <w:tcPr>
            <w:tcW w:w="1134" w:type="dxa"/>
          </w:tcPr>
          <w:p w:rsidR="00732508" w:rsidRPr="00467BE2" w:rsidRDefault="0023337E" w:rsidP="004A24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732508" w:rsidRPr="00467BE2">
              <w:rPr>
                <w:rFonts w:ascii="Arial" w:hAnsi="Arial" w:cs="Arial"/>
                <w:szCs w:val="24"/>
              </w:rPr>
              <w:t>ip</w:t>
            </w:r>
          </w:p>
        </w:tc>
      </w:tr>
    </w:tbl>
    <w:p w:rsidR="0079710C" w:rsidRPr="0018253B" w:rsidRDefault="0079710C" w:rsidP="0037143C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79710C" w:rsidRPr="0018253B" w:rsidTr="00DA46A3">
        <w:tc>
          <w:tcPr>
            <w:tcW w:w="440" w:type="dxa"/>
            <w:vMerge w:val="restart"/>
          </w:tcPr>
          <w:p w:rsidR="0079710C" w:rsidRPr="0018253B" w:rsidRDefault="0079710C" w:rsidP="0037143C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79710C" w:rsidRPr="0018253B" w:rsidRDefault="0079710C" w:rsidP="0037143C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REGISTRACIJA (NAKON PREUZIMANJA APLIKACIJE SA STORE-A)</w:t>
            </w:r>
          </w:p>
        </w:tc>
        <w:tc>
          <w:tcPr>
            <w:tcW w:w="904" w:type="dxa"/>
          </w:tcPr>
          <w:p w:rsidR="0079710C" w:rsidRPr="0018253B" w:rsidRDefault="0079710C" w:rsidP="0066228E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4483" w:type="dxa"/>
          </w:tcPr>
          <w:p w:rsidR="0079710C" w:rsidRDefault="0023337E" w:rsidP="0018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 prve registracije</w:t>
            </w:r>
            <w:r w:rsidR="0079710C" w:rsidRPr="0018253B">
              <w:rPr>
                <w:rFonts w:ascii="Arial" w:hAnsi="Arial" w:cs="Arial"/>
                <w:sz w:val="24"/>
                <w:szCs w:val="24"/>
              </w:rPr>
              <w:t xml:space="preserve"> razlikuje obrtnike od ostalih korisnika aplikacije (anonimne javnosti). </w:t>
            </w:r>
          </w:p>
          <w:p w:rsidR="0079710C" w:rsidRDefault="0079710C" w:rsidP="0018253B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Modul za obrtnike je moguće aktivirati preko procesa 2-faktorska autentikacije:  obrtnicima preko</w:t>
            </w:r>
            <w:r w:rsidR="008B6E3F">
              <w:rPr>
                <w:rFonts w:ascii="Arial" w:hAnsi="Arial" w:cs="Arial"/>
                <w:sz w:val="24"/>
                <w:szCs w:val="24"/>
              </w:rPr>
              <w:t xml:space="preserve"> drugih komunikacijskih kanala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(SMS ili MAIL)  dostavljen enkripcijski PIN vezan uz  OIB. </w:t>
            </w:r>
          </w:p>
          <w:p w:rsidR="0079710C" w:rsidRDefault="0079710C" w:rsidP="0018253B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OIB otključava  enkripcijski PIN i dodjeljuje korisnički PIN.  </w:t>
            </w:r>
          </w:p>
          <w:p w:rsidR="0079710C" w:rsidRPr="0018253B" w:rsidRDefault="0079710C" w:rsidP="0018253B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Na poslužiteljskoj strani dnevno se preuzima podskup podataka Obrtnog registra i evidencije dobrovoljnog članstva radi ažurnosti.</w:t>
            </w:r>
          </w:p>
        </w:tc>
        <w:tc>
          <w:tcPr>
            <w:tcW w:w="1134" w:type="dxa"/>
          </w:tcPr>
          <w:p w:rsidR="0079710C" w:rsidRPr="0018253B" w:rsidRDefault="0079710C" w:rsidP="0037143C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osnovni</w:t>
            </w:r>
          </w:p>
        </w:tc>
      </w:tr>
      <w:tr w:rsidR="0079710C" w:rsidRPr="0018253B" w:rsidTr="004A2440">
        <w:tc>
          <w:tcPr>
            <w:tcW w:w="440" w:type="dxa"/>
            <w:vMerge/>
          </w:tcPr>
          <w:p w:rsidR="0079710C" w:rsidRPr="0018253B" w:rsidRDefault="0079710C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79710C" w:rsidRDefault="00912350" w:rsidP="007971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Osnovni 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>modul sustava (</w:t>
            </w:r>
            <w:r w:rsidR="00921CA6">
              <w:rPr>
                <w:rFonts w:ascii="Arial" w:hAnsi="Arial" w:cs="Arial"/>
                <w:i/>
                <w:sz w:val="24"/>
                <w:szCs w:val="24"/>
              </w:rPr>
              <w:t xml:space="preserve">omogućuje funkcionalnost modula </w:t>
            </w:r>
            <w:r w:rsidR="0079710C">
              <w:rPr>
                <w:rFonts w:ascii="Arial" w:hAnsi="Arial" w:cs="Arial"/>
                <w:i/>
                <w:sz w:val="24"/>
                <w:szCs w:val="24"/>
              </w:rPr>
              <w:t xml:space="preserve">od 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79710C">
              <w:rPr>
                <w:rFonts w:ascii="Arial" w:hAnsi="Arial" w:cs="Arial"/>
                <w:i/>
                <w:sz w:val="24"/>
                <w:szCs w:val="24"/>
              </w:rPr>
              <w:t xml:space="preserve"> do 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>6), uključuje dizajni</w:t>
            </w:r>
            <w:r w:rsidR="0023337E">
              <w:rPr>
                <w:rFonts w:ascii="Arial" w:hAnsi="Arial" w:cs="Arial"/>
                <w:i/>
                <w:sz w:val="24"/>
                <w:szCs w:val="24"/>
              </w:rPr>
              <w:t>ranje baza i struktura podataka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 xml:space="preserve"> te </w:t>
            </w:r>
            <w:r w:rsidR="0079710C">
              <w:rPr>
                <w:rFonts w:ascii="Arial" w:hAnsi="Arial" w:cs="Arial"/>
                <w:i/>
                <w:sz w:val="24"/>
                <w:szCs w:val="24"/>
              </w:rPr>
              <w:t xml:space="preserve">definiciju 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>automatsk</w:t>
            </w:r>
            <w:r w:rsidR="0079710C">
              <w:rPr>
                <w:rFonts w:ascii="Arial" w:hAnsi="Arial" w:cs="Arial"/>
                <w:i/>
                <w:sz w:val="24"/>
                <w:szCs w:val="24"/>
              </w:rPr>
              <w:t>ih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 xml:space="preserve"> procedur</w:t>
            </w:r>
            <w:r w:rsidR="0079710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 xml:space="preserve"> za dohvaćanje podatke iz </w:t>
            </w:r>
            <w:r w:rsidR="00F21F9B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>zvora podataka</w:t>
            </w:r>
            <w:r w:rsidR="00F21F9B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 xml:space="preserve"> informacijskog sustava HOK-a. Izvori podataka koji će se koristiti u za mobilnu platformu su: Obrtni registar, Evidencija dobrovoljnog članstva, Evidencija zaduženja i naplate Komorskog doprinosa, Evidencija poslovnih kontakt</w:t>
            </w:r>
            <w:r w:rsidR="00F21F9B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>informacija članova HOK</w:t>
            </w:r>
            <w:r w:rsidR="00F21F9B">
              <w:rPr>
                <w:rFonts w:ascii="Arial" w:hAnsi="Arial" w:cs="Arial"/>
                <w:i/>
                <w:sz w:val="24"/>
                <w:szCs w:val="24"/>
              </w:rPr>
              <w:t xml:space="preserve"> – AIDA</w:t>
            </w:r>
            <w:r w:rsidR="0079710C" w:rsidRPr="0079710C">
              <w:rPr>
                <w:rFonts w:ascii="Arial" w:hAnsi="Arial" w:cs="Arial"/>
                <w:i/>
                <w:sz w:val="24"/>
                <w:szCs w:val="24"/>
              </w:rPr>
              <w:t xml:space="preserve">, Evidencija Dužnosnika komorskog sustava. Modul podrazumijeva pripremu svih relevantnih podataka, integraciju na sustav za slanje Mail i SMS poruka, primanje i pohranu PIN-a, koji postaje korisnička zaštita za zaštićene dijelove mobilne aplikacije. </w:t>
            </w:r>
          </w:p>
          <w:p w:rsidR="0079710C" w:rsidRPr="0079710C" w:rsidRDefault="0079710C" w:rsidP="007971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710C">
              <w:rPr>
                <w:rFonts w:ascii="Arial" w:hAnsi="Arial" w:cs="Arial"/>
                <w:i/>
                <w:sz w:val="24"/>
                <w:szCs w:val="24"/>
              </w:rPr>
              <w:t>U modulu je potrebno izraditi vizualni dizajn platforme kao mobilne aplikacije</w:t>
            </w:r>
            <w:r w:rsidR="0023337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79710C">
              <w:rPr>
                <w:rFonts w:ascii="Arial" w:hAnsi="Arial" w:cs="Arial"/>
                <w:i/>
                <w:sz w:val="24"/>
                <w:szCs w:val="24"/>
              </w:rPr>
              <w:t xml:space="preserve"> koja treba biti prepoznatljiva</w:t>
            </w:r>
            <w:r w:rsidR="0023337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79710C">
              <w:rPr>
                <w:rFonts w:ascii="Arial" w:hAnsi="Arial" w:cs="Arial"/>
                <w:i/>
                <w:sz w:val="24"/>
                <w:szCs w:val="24"/>
              </w:rPr>
              <w:t xml:space="preserve"> u skladu sa HOK standardima.</w:t>
            </w:r>
          </w:p>
          <w:p w:rsidR="0079710C" w:rsidRDefault="0079710C" w:rsidP="007971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710C">
              <w:rPr>
                <w:rFonts w:ascii="Arial" w:hAnsi="Arial" w:cs="Arial"/>
                <w:i/>
                <w:sz w:val="24"/>
                <w:szCs w:val="24"/>
              </w:rPr>
              <w:t>Korisnički pristup članova HOK-a funkcionalni</w:t>
            </w:r>
            <w:r w:rsidR="0023337E">
              <w:rPr>
                <w:rFonts w:ascii="Arial" w:hAnsi="Arial" w:cs="Arial"/>
                <w:i/>
                <w:sz w:val="24"/>
                <w:szCs w:val="24"/>
              </w:rPr>
              <w:t>m dijelovima aplikacije, ovisit</w:t>
            </w:r>
            <w:r w:rsidRPr="0079710C">
              <w:rPr>
                <w:rFonts w:ascii="Arial" w:hAnsi="Arial" w:cs="Arial"/>
                <w:i/>
                <w:sz w:val="24"/>
                <w:szCs w:val="24"/>
              </w:rPr>
              <w:t xml:space="preserve"> će o dnevnom statu</w:t>
            </w:r>
            <w:r w:rsidR="0023337E">
              <w:rPr>
                <w:rFonts w:ascii="Arial" w:hAnsi="Arial" w:cs="Arial"/>
                <w:i/>
                <w:sz w:val="24"/>
                <w:szCs w:val="24"/>
              </w:rPr>
              <w:t>su plaćanja komorskog doprinosa</w:t>
            </w:r>
            <w:r w:rsidRPr="0079710C">
              <w:rPr>
                <w:rFonts w:ascii="Arial" w:hAnsi="Arial" w:cs="Arial"/>
                <w:i/>
                <w:sz w:val="24"/>
                <w:szCs w:val="24"/>
              </w:rPr>
              <w:t xml:space="preserve"> t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e će sustav prema definiranim</w:t>
            </w:r>
            <w:r w:rsidRPr="0079710C">
              <w:rPr>
                <w:rFonts w:ascii="Arial" w:hAnsi="Arial" w:cs="Arial"/>
                <w:i/>
                <w:sz w:val="24"/>
                <w:szCs w:val="24"/>
              </w:rPr>
              <w:t xml:space="preserve"> pravilima automatski blokirati pristup pojedinim sadržajima.</w:t>
            </w:r>
          </w:p>
          <w:p w:rsidR="00467BE2" w:rsidRDefault="00467BE2" w:rsidP="007971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Sustav omogućuje korisniku instalaciju mobilne aplikacije na više mobilnih uređaja.</w:t>
            </w:r>
          </w:p>
          <w:p w:rsidR="00467BE2" w:rsidRDefault="00467BE2" w:rsidP="00467BE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67BE2">
              <w:rPr>
                <w:rFonts w:ascii="Arial" w:hAnsi="Arial" w:cs="Arial"/>
                <w:i/>
                <w:sz w:val="24"/>
                <w:szCs w:val="24"/>
              </w:rPr>
              <w:t>Sustav uključuje mobilnu aplikaciju i centralni sustav administracije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467BE2" w:rsidRPr="0018253B" w:rsidRDefault="00467BE2" w:rsidP="000411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Aplikacija je javno dostupna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 za preuzimanje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</w:tc>
      </w:tr>
    </w:tbl>
    <w:p w:rsidR="00467BE2" w:rsidRDefault="00467BE2" w:rsidP="00E76139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C56E0B" w:rsidRPr="0018253B" w:rsidTr="004A2440">
        <w:tc>
          <w:tcPr>
            <w:tcW w:w="440" w:type="dxa"/>
            <w:vMerge w:val="restart"/>
          </w:tcPr>
          <w:p w:rsidR="00C56E0B" w:rsidRPr="0018253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C56E0B" w:rsidRPr="0018253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PRVA PRIJAVA -PRIDRUŽIVANJA KORISNIKA U INTERESNE GRUPE I KOLEKCIJA GRUPA</w:t>
            </w:r>
          </w:p>
        </w:tc>
        <w:tc>
          <w:tcPr>
            <w:tcW w:w="904" w:type="dxa"/>
          </w:tcPr>
          <w:p w:rsidR="00C56E0B" w:rsidRPr="0018253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4483" w:type="dxa"/>
          </w:tcPr>
          <w:p w:rsidR="00C56E0B" w:rsidRDefault="008B6E3F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Svaki novo</w:t>
            </w:r>
            <w:r w:rsidR="00C56E0B" w:rsidRPr="0018253B">
              <w:rPr>
                <w:rFonts w:ascii="Arial" w:hAnsi="Arial" w:cs="Arial"/>
                <w:sz w:val="24"/>
                <w:szCs w:val="24"/>
              </w:rPr>
              <w:t xml:space="preserve">registrirani korisnik bira interesne grupe u kojim želi participirati s namjenom što usmjerenije informacije. </w:t>
            </w:r>
          </w:p>
          <w:p w:rsidR="00C56E0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Definiranje grupa i kolekcija je obveza HOK</w:t>
            </w:r>
            <w:r>
              <w:rPr>
                <w:rFonts w:ascii="Arial" w:hAnsi="Arial" w:cs="Arial"/>
                <w:sz w:val="24"/>
                <w:szCs w:val="24"/>
              </w:rPr>
              <w:t>-a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56E0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Postoji automatizam </w:t>
            </w:r>
            <w:r>
              <w:rPr>
                <w:rFonts w:ascii="Arial" w:hAnsi="Arial" w:cs="Arial"/>
                <w:sz w:val="24"/>
                <w:szCs w:val="24"/>
              </w:rPr>
              <w:t>dodjeljivanja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u predefinirane grupa (cehove/branše) prema NKD iz Obrtnog registra. </w:t>
            </w:r>
          </w:p>
          <w:p w:rsidR="00C56E0B" w:rsidRPr="0018253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Definiranje kazala NKD-&gt;Interesne grupe je obveza HOK.</w:t>
            </w:r>
          </w:p>
        </w:tc>
        <w:tc>
          <w:tcPr>
            <w:tcW w:w="1134" w:type="dxa"/>
          </w:tcPr>
          <w:p w:rsidR="00C56E0B" w:rsidRPr="0018253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osnovni</w:t>
            </w:r>
          </w:p>
        </w:tc>
      </w:tr>
      <w:tr w:rsidR="00C56E0B" w:rsidRPr="0018253B" w:rsidTr="004A2440">
        <w:tc>
          <w:tcPr>
            <w:tcW w:w="440" w:type="dxa"/>
            <w:vMerge/>
          </w:tcPr>
          <w:p w:rsidR="00C56E0B" w:rsidRPr="0018253B" w:rsidRDefault="00C56E0B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C56E0B" w:rsidRPr="00C56E0B" w:rsidRDefault="00C56E0B" w:rsidP="00921C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6E0B">
              <w:rPr>
                <w:rFonts w:ascii="Arial" w:hAnsi="Arial" w:cs="Arial"/>
                <w:i/>
                <w:sz w:val="24"/>
                <w:szCs w:val="24"/>
              </w:rPr>
              <w:t>Na osnovu klasifikacij</w:t>
            </w:r>
            <w:r w:rsidR="00921CA6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C56E0B"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šifarnika</w:t>
            </w:r>
            <w:r w:rsidR="00921CA6">
              <w:rPr>
                <w:rFonts w:ascii="Arial" w:hAnsi="Arial" w:cs="Arial"/>
                <w:i/>
                <w:sz w:val="24"/>
                <w:szCs w:val="24"/>
              </w:rPr>
              <w:t xml:space="preserve"> te </w:t>
            </w:r>
            <w:r w:rsidRPr="00C56E0B">
              <w:rPr>
                <w:rFonts w:ascii="Arial" w:hAnsi="Arial" w:cs="Arial"/>
                <w:i/>
                <w:sz w:val="24"/>
                <w:szCs w:val="24"/>
              </w:rPr>
              <w:t>preuzetih podataka iz postojećih sustava, svakom će se korisniku omogućiti odabir interesnih grupa na osnovu kojih će mu biti prosljeđivane informacije. Korisnik bira grupe nakon inicijalne aktivacije sustava PIN-om. Također je predviđena samostalna mogućnost naknadne promjene parametara interesnih skupina prema želji korisnika. Odabrane interesne grupe su preduvjet za ciljanu komunikaciju prema korisnicima kroz sve funkcionalne module  aplikacije.</w:t>
            </w:r>
          </w:p>
        </w:tc>
      </w:tr>
    </w:tbl>
    <w:p w:rsidR="00C56E0B" w:rsidRDefault="00C56E0B" w:rsidP="00E76139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732508" w:rsidRPr="0018253B" w:rsidTr="004A2440">
        <w:tc>
          <w:tcPr>
            <w:tcW w:w="440" w:type="dxa"/>
            <w:vMerge w:val="restart"/>
          </w:tcPr>
          <w:p w:rsidR="00732508" w:rsidRPr="0018253B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732508" w:rsidRPr="00467BE2" w:rsidRDefault="00732508" w:rsidP="004A24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67BE2">
              <w:rPr>
                <w:rFonts w:ascii="Arial" w:hAnsi="Arial" w:cs="Arial"/>
                <w:i/>
                <w:sz w:val="24"/>
                <w:szCs w:val="24"/>
              </w:rPr>
              <w:t>UPRAVLJANJEM POSLOVNOM KOMUNIKACIJOM HOK-A SA ČLANSTVOM</w:t>
            </w:r>
          </w:p>
        </w:tc>
        <w:tc>
          <w:tcPr>
            <w:tcW w:w="904" w:type="dxa"/>
          </w:tcPr>
          <w:p w:rsidR="00732508" w:rsidRPr="0018253B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4483" w:type="dxa"/>
          </w:tcPr>
          <w:p w:rsidR="00732508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osigurava HOK-u slanje poruka/sadržaja o svojim aktivnostima preko zatvorene mreže prema korisnicama i grupama. </w:t>
            </w:r>
          </w:p>
          <w:p w:rsidR="00732508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Sastavljanje s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adržaja/aktivnosti/informacija prema članstvu je obveza HOK. </w:t>
            </w:r>
          </w:p>
          <w:p w:rsidR="00732508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Mogući formati sadržaja su tekst/slike/link. Ako su nužni privitci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PDF (izbjegavati privitke)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32508" w:rsidRPr="0018253B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Postoji evidencija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internih korisnika u HOK-u </w:t>
            </w:r>
            <w:r>
              <w:rPr>
                <w:rFonts w:ascii="Arial" w:hAnsi="Arial" w:cs="Arial"/>
                <w:sz w:val="24"/>
                <w:szCs w:val="24"/>
              </w:rPr>
              <w:t>koji mogu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slati informacije kroz platformu</w:t>
            </w:r>
            <w:r w:rsidR="00164334">
              <w:rPr>
                <w:rFonts w:ascii="Arial" w:hAnsi="Arial" w:cs="Arial"/>
                <w:sz w:val="24"/>
                <w:szCs w:val="24"/>
              </w:rPr>
              <w:t>,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uz sustav odobravanja slanja sadržaja: dvije razine internih korisnika: novinari i urednici.</w:t>
            </w:r>
          </w:p>
        </w:tc>
        <w:tc>
          <w:tcPr>
            <w:tcW w:w="1134" w:type="dxa"/>
          </w:tcPr>
          <w:p w:rsidR="00732508" w:rsidRPr="0018253B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osnovni</w:t>
            </w:r>
          </w:p>
        </w:tc>
      </w:tr>
      <w:tr w:rsidR="00732508" w:rsidRPr="0018253B" w:rsidTr="004A2440">
        <w:tc>
          <w:tcPr>
            <w:tcW w:w="440" w:type="dxa"/>
            <w:vMerge/>
          </w:tcPr>
          <w:p w:rsidR="00732508" w:rsidRPr="0018253B" w:rsidRDefault="00732508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732508" w:rsidRPr="00467BE2" w:rsidRDefault="00467BE2" w:rsidP="00A420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67BE2">
              <w:rPr>
                <w:rFonts w:ascii="Arial" w:hAnsi="Arial" w:cs="Arial"/>
                <w:i/>
                <w:sz w:val="24"/>
                <w:szCs w:val="24"/>
              </w:rPr>
              <w:t>Prema</w:t>
            </w:r>
            <w:r w:rsidR="00A420AC">
              <w:rPr>
                <w:rFonts w:ascii="Arial" w:hAnsi="Arial" w:cs="Arial"/>
                <w:i/>
                <w:sz w:val="24"/>
                <w:szCs w:val="24"/>
              </w:rPr>
              <w:t xml:space="preserve"> unaprijed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definiranim </w:t>
            </w:r>
            <w:r w:rsidRPr="00467BE2">
              <w:rPr>
                <w:rFonts w:ascii="Arial" w:hAnsi="Arial" w:cs="Arial"/>
                <w:i/>
                <w:sz w:val="24"/>
                <w:szCs w:val="24"/>
              </w:rPr>
              <w:t xml:space="preserve">interesnim grupama i kolekcijama grupa, teritorijalnom ustroju te </w:t>
            </w:r>
            <w:r>
              <w:rPr>
                <w:rFonts w:ascii="Arial" w:hAnsi="Arial" w:cs="Arial"/>
                <w:i/>
                <w:sz w:val="24"/>
                <w:szCs w:val="24"/>
              </w:rPr>
              <w:t>interesnim skupinama</w:t>
            </w:r>
            <w:r w:rsidRPr="00467BE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odabranim </w:t>
            </w:r>
            <w:r w:rsidRPr="00467BE2">
              <w:rPr>
                <w:rFonts w:ascii="Arial" w:hAnsi="Arial" w:cs="Arial"/>
                <w:i/>
                <w:sz w:val="24"/>
                <w:szCs w:val="24"/>
              </w:rPr>
              <w:t xml:space="preserve">od strane samog korisnika, HOK će ciljano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informirati </w:t>
            </w:r>
            <w:r w:rsidRPr="00467BE2">
              <w:rPr>
                <w:rFonts w:ascii="Arial" w:hAnsi="Arial" w:cs="Arial"/>
                <w:i/>
                <w:sz w:val="24"/>
                <w:szCs w:val="24"/>
              </w:rPr>
              <w:t xml:space="preserve">izvještavati svoje članstvo o svojim aktivnostima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 ostalim sadržajima </w:t>
            </w:r>
            <w:r w:rsidRPr="00467BE2">
              <w:rPr>
                <w:rFonts w:ascii="Arial" w:hAnsi="Arial" w:cs="Arial"/>
                <w:i/>
                <w:sz w:val="24"/>
                <w:szCs w:val="24"/>
              </w:rPr>
              <w:t>na temelju strukturiranih poruka.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>Sustav će evi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 xml:space="preserve">dentirati svako čitanje poruke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>te će povratnu informaciju pohraniti kao povratnu vezu prema centralnom sustavu za statističko praćenje.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 Sustav omogućava korisniku odjavu iz pojedinih ili svih otvorenih informacijskih kanala. HOK i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 xml:space="preserve">nterni korisnici 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koji generiraju informacije na kanal,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 xml:space="preserve">moraju se identificirati kod ulaska u centralni </w:t>
            </w:r>
            <w:r w:rsidR="008B6E3F">
              <w:rPr>
                <w:rFonts w:ascii="Arial" w:hAnsi="Arial" w:cs="Arial"/>
                <w:i/>
                <w:sz w:val="24"/>
                <w:szCs w:val="24"/>
              </w:rPr>
              <w:t>sustav i prilikom objave poruka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 xml:space="preserve"> te će uz svaku obavijest sustav zabilježiti tko ju je objavio.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 Definirana je 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 xml:space="preserve">procedura objave poruke na način da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>svaka objava</w:t>
            </w:r>
            <w:r w:rsidR="00A420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 xml:space="preserve">mora 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biti odobrena od internog korisnika više razine u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>HOK-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 P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 xml:space="preserve">redviđa 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se mogućnost 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>automatskih sistemskih poruka prema pravilima HOK-a (npr. obavijest o</w:t>
            </w:r>
            <w:r w:rsidR="00041131">
              <w:rPr>
                <w:rFonts w:ascii="Arial" w:hAnsi="Arial" w:cs="Arial"/>
                <w:i/>
                <w:sz w:val="24"/>
                <w:szCs w:val="24"/>
              </w:rPr>
              <w:t xml:space="preserve"> stanju zaduženja i naplate komorskog doprinosa</w:t>
            </w:r>
            <w:r w:rsidR="00041131" w:rsidRPr="00041131">
              <w:rPr>
                <w:rFonts w:ascii="Arial" w:hAnsi="Arial" w:cs="Arial"/>
                <w:i/>
                <w:sz w:val="24"/>
                <w:szCs w:val="24"/>
              </w:rPr>
              <w:t xml:space="preserve"> i slično).</w:t>
            </w:r>
          </w:p>
        </w:tc>
      </w:tr>
    </w:tbl>
    <w:p w:rsidR="00C56E0B" w:rsidRDefault="00C56E0B" w:rsidP="00E7613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32508" w:rsidRDefault="00732508" w:rsidP="00E76139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4A2440" w:rsidRPr="0018253B" w:rsidTr="004A2440">
        <w:tc>
          <w:tcPr>
            <w:tcW w:w="440" w:type="dxa"/>
            <w:vMerge w:val="restart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DVOSMJERNA KOMUNIKACIJA – ANKETE/GLASOVANJA</w:t>
            </w:r>
          </w:p>
        </w:tc>
        <w:tc>
          <w:tcPr>
            <w:tcW w:w="90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4483" w:type="dxa"/>
          </w:tcPr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osigurava HOK-u prikupljanje mišljenja  i stavova o aktualnim temama. </w:t>
            </w:r>
          </w:p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Nemogućnost tekstualnih komentara, samo odgovori na predefinirana pitanja. </w:t>
            </w:r>
          </w:p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Izvješće: za interne korisnike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Prikaz statističkih rezultata ankete.</w:t>
            </w:r>
          </w:p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osnovni</w:t>
            </w:r>
          </w:p>
        </w:tc>
      </w:tr>
      <w:tr w:rsidR="004A2440" w:rsidRPr="0018253B" w:rsidTr="004A2440">
        <w:tc>
          <w:tcPr>
            <w:tcW w:w="440" w:type="dxa"/>
            <w:vMerge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4A2440" w:rsidRPr="0018253B" w:rsidRDefault="00041131" w:rsidP="00A420AC">
            <w:pPr>
              <w:rPr>
                <w:rFonts w:ascii="Arial" w:hAnsi="Arial" w:cs="Arial"/>
                <w:sz w:val="24"/>
                <w:szCs w:val="24"/>
              </w:rPr>
            </w:pPr>
            <w:r w:rsidRPr="00041131">
              <w:rPr>
                <w:rFonts w:ascii="Arial" w:hAnsi="Arial" w:cs="Arial"/>
                <w:i/>
                <w:sz w:val="24"/>
                <w:szCs w:val="24"/>
              </w:rPr>
              <w:t>Sustav će koristeći internesne grupe i teritorijalni ustroj, omogućiti funkcionalnost glasovanja ili anketnih pitanja za članstvo po principu odabira jednog ili više ponuđenih odgovora.</w:t>
            </w:r>
            <w:r w:rsidR="00A420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41131">
              <w:rPr>
                <w:rFonts w:ascii="Arial" w:hAnsi="Arial" w:cs="Arial"/>
                <w:i/>
                <w:sz w:val="24"/>
                <w:szCs w:val="24"/>
              </w:rPr>
              <w:t>Aknkete definiraju interni korisnici centralnog sustava u HO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Pr="00041131">
              <w:rPr>
                <w:rFonts w:ascii="Arial" w:hAnsi="Arial" w:cs="Arial"/>
                <w:i/>
                <w:sz w:val="24"/>
                <w:szCs w:val="24"/>
              </w:rPr>
              <w:t>-u . Korisnik može odgovoriti samo jednom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041131">
              <w:rPr>
                <w:rFonts w:ascii="Arial" w:hAnsi="Arial" w:cs="Arial"/>
                <w:i/>
                <w:sz w:val="24"/>
                <w:szCs w:val="24"/>
              </w:rPr>
              <w:t xml:space="preserve"> bez obzira na broj uređaja na kojem je aplikacija instalirana.</w:t>
            </w:r>
            <w:r w:rsidR="00A420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41131">
              <w:rPr>
                <w:rFonts w:ascii="Arial" w:hAnsi="Arial" w:cs="Arial"/>
                <w:i/>
                <w:sz w:val="24"/>
                <w:szCs w:val="24"/>
              </w:rPr>
              <w:t>Centralni sustav omo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gućuje statističko izvještavanje</w:t>
            </w:r>
            <w:r w:rsidRPr="00041131">
              <w:rPr>
                <w:rFonts w:ascii="Arial" w:hAnsi="Arial" w:cs="Arial"/>
                <w:i/>
                <w:sz w:val="24"/>
                <w:szCs w:val="24"/>
              </w:rPr>
              <w:t xml:space="preserve"> za rezultate anketa.</w:t>
            </w:r>
          </w:p>
        </w:tc>
      </w:tr>
    </w:tbl>
    <w:p w:rsidR="004A2440" w:rsidRDefault="004A2440" w:rsidP="00E76139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4A2440" w:rsidRPr="0018253B" w:rsidTr="004A2440">
        <w:tc>
          <w:tcPr>
            <w:tcW w:w="440" w:type="dxa"/>
            <w:vMerge w:val="restart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HOK</w:t>
            </w:r>
            <w:r w:rsidR="00164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53B">
              <w:rPr>
                <w:rFonts w:ascii="Arial" w:hAnsi="Arial" w:cs="Arial"/>
                <w:sz w:val="24"/>
                <w:szCs w:val="24"/>
              </w:rPr>
              <w:t>ZNA IDENTIFIKACIJA</w:t>
            </w:r>
          </w:p>
        </w:tc>
        <w:tc>
          <w:tcPr>
            <w:tcW w:w="90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4483" w:type="dxa"/>
          </w:tcPr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osigurava dijelu članstva beneficije kod Partnera u projektu HOK-ZNA preko zaštićenog QR koda koji izrađuje poslužitelj i pohranjuje se na definirani period (revokacija QR u slučaju ne-plaćanja komorskog doprinosa) u mobilni aparat člana. </w:t>
            </w:r>
          </w:p>
          <w:p w:rsidR="004A2440" w:rsidRDefault="008B6E3F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 koji ima</w:t>
            </w:r>
            <w:r w:rsidR="004A2440" w:rsidRPr="0018253B">
              <w:rPr>
                <w:rFonts w:ascii="Arial" w:hAnsi="Arial" w:cs="Arial"/>
                <w:sz w:val="24"/>
                <w:szCs w:val="24"/>
              </w:rPr>
              <w:t xml:space="preserve"> QR </w:t>
            </w:r>
            <w:r>
              <w:rPr>
                <w:rFonts w:ascii="Arial" w:hAnsi="Arial" w:cs="Arial"/>
                <w:sz w:val="24"/>
                <w:szCs w:val="24"/>
              </w:rPr>
              <w:t>kod</w:t>
            </w:r>
            <w:r w:rsidR="004A2440" w:rsidRPr="0018253B">
              <w:rPr>
                <w:rFonts w:ascii="Arial" w:hAnsi="Arial" w:cs="Arial"/>
                <w:sz w:val="24"/>
                <w:szCs w:val="24"/>
              </w:rPr>
              <w:t xml:space="preserve"> može ostvariti popust kod Partnera. </w:t>
            </w:r>
          </w:p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Poslužitelj platforme preuzima dnevne podatke po OIB-u o statusima plaćanja komorskog doprinosa.</w:t>
            </w:r>
          </w:p>
        </w:tc>
        <w:tc>
          <w:tcPr>
            <w:tcW w:w="113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osnovni</w:t>
            </w:r>
          </w:p>
        </w:tc>
      </w:tr>
      <w:tr w:rsidR="004A2440" w:rsidRPr="0018253B" w:rsidTr="004A2440">
        <w:tc>
          <w:tcPr>
            <w:tcW w:w="440" w:type="dxa"/>
            <w:vMerge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BB2B73" w:rsidRPr="00BB2B73" w:rsidRDefault="00BB2B73" w:rsidP="00BB2B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B73">
              <w:rPr>
                <w:rFonts w:ascii="Arial" w:hAnsi="Arial" w:cs="Arial"/>
                <w:i/>
                <w:sz w:val="24"/>
                <w:szCs w:val="24"/>
              </w:rPr>
              <w:t>Za potrebe individualne identifikacije članova u projektu HOK-ZNA, sustav će kod registracije članova za svakog člana definirati virtualnu identifikacijsku karticu, koju će korisnik moći pokazati kod HOK partnera kako bi ostvario svoje pogodnosti.</w:t>
            </w:r>
          </w:p>
          <w:p w:rsidR="00BB2B73" w:rsidRPr="00BB2B73" w:rsidRDefault="00BB2B73" w:rsidP="00BB2B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Virtualna kartica će biti interaktivna i to na način da će njena upotreba ovisiti o tome da li član plaća komorski doprinos. Kako će se dnevno ažurirati status 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stanja komorskog doprinosa/član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>arine, postoji dnevna ažurnost mogućnosti upotrebe virtualne HOK kartice. U slu</w:t>
            </w:r>
            <w:r w:rsidR="001C0D1F">
              <w:rPr>
                <w:rFonts w:ascii="Arial" w:hAnsi="Arial" w:cs="Arial"/>
                <w:i/>
                <w:sz w:val="24"/>
                <w:szCs w:val="24"/>
              </w:rPr>
              <w:t>čaju pravovremenog ne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 xml:space="preserve">plaćanja 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>doprinos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>, sustav ne prikazuje identifikacijsku karticu. Također se predviđa mogućnost ručne blokade/deblokade pojedine virtualne kartice od strane ovlaštenog korisnika centralnog sustava iz bilo kojeg razloga koji definira HOK. Projektom se predlažu dvije vrste prikaza kartice na zaslonu mobilnog uređaja: barkod kartica (obični barkod sa brojem kartice kao identifikatorom u svrhu jednostavnog</w:t>
            </w:r>
          </w:p>
          <w:p w:rsidR="00BB2B73" w:rsidRPr="00BB2B73" w:rsidRDefault="00BB2B73" w:rsidP="00BB2B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B73">
              <w:rPr>
                <w:rFonts w:ascii="Arial" w:hAnsi="Arial" w:cs="Arial"/>
                <w:i/>
                <w:sz w:val="24"/>
                <w:szCs w:val="24"/>
              </w:rPr>
              <w:t>prepoznavanja kartice od strane trgovaca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 uz pretpostavku kako je barkod </w:t>
            </w:r>
          </w:p>
          <w:p w:rsidR="00BB2B73" w:rsidRPr="0018253B" w:rsidRDefault="00BB2B73" w:rsidP="00BB2B73">
            <w:pPr>
              <w:rPr>
                <w:rFonts w:ascii="Arial" w:hAnsi="Arial" w:cs="Arial"/>
                <w:sz w:val="24"/>
                <w:szCs w:val="24"/>
              </w:rPr>
            </w:pPr>
            <w:r w:rsidRPr="00BB2B73">
              <w:rPr>
                <w:rFonts w:ascii="Arial" w:hAnsi="Arial" w:cs="Arial"/>
                <w:i/>
                <w:sz w:val="24"/>
                <w:szCs w:val="24"/>
              </w:rPr>
              <w:t>jednostavno čitlji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v za većinu mjesta ostvarivanja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 popusta i QR kod identifikator s funkcijom virtualne posjetnice (strukturirani zapis dodatnih informacija o članu).</w:t>
            </w:r>
          </w:p>
          <w:p w:rsidR="004A2440" w:rsidRPr="0018253B" w:rsidRDefault="004A2440" w:rsidP="00BB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334" w:rsidRDefault="00E65334" w:rsidP="004A2440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4A2440" w:rsidRPr="0018253B" w:rsidTr="004A2440">
        <w:tc>
          <w:tcPr>
            <w:tcW w:w="440" w:type="dxa"/>
            <w:vMerge w:val="restart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GEOLOKACIJSKA PROMIDŽBA ROBA I USLUGA ZA ČLANA – OSNOVNI PAKET</w:t>
            </w:r>
          </w:p>
        </w:tc>
        <w:tc>
          <w:tcPr>
            <w:tcW w:w="90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4483" w:type="dxa"/>
          </w:tcPr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eolokacijska informacija </w:t>
            </w:r>
            <w:r w:rsidR="001C0D1F">
              <w:rPr>
                <w:rFonts w:ascii="Arial" w:hAnsi="Arial" w:cs="Arial"/>
                <w:sz w:val="24"/>
                <w:szCs w:val="24"/>
              </w:rPr>
              <w:t xml:space="preserve">za ostale korisnike aplikacija 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 obrtničkim proizvodima i usluga  karta "pronađi traženi proizvod/uslugu u svojoj blizini". </w:t>
            </w:r>
          </w:p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Član sam formira i ažurira dio ponude i adresni-geolokacijski prostor.</w:t>
            </w:r>
          </w:p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Pretraživanje: </w:t>
            </w:r>
          </w:p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a) osnovno prema NKD unutar zadanog radijusa i </w:t>
            </w:r>
          </w:p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b) full-text pretraživanje prema tekstualnom unosu ponude.</w:t>
            </w:r>
          </w:p>
        </w:tc>
        <w:tc>
          <w:tcPr>
            <w:tcW w:w="113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osnovni</w:t>
            </w:r>
          </w:p>
        </w:tc>
      </w:tr>
      <w:tr w:rsidR="004A2440" w:rsidRPr="0018253B" w:rsidTr="004A2440">
        <w:tc>
          <w:tcPr>
            <w:tcW w:w="440" w:type="dxa"/>
            <w:vMerge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4A2440" w:rsidRPr="0018253B" w:rsidRDefault="00BB2B73" w:rsidP="001C0D1F">
            <w:pPr>
              <w:rPr>
                <w:rFonts w:ascii="Arial" w:hAnsi="Arial" w:cs="Arial"/>
                <w:sz w:val="24"/>
                <w:szCs w:val="24"/>
              </w:rPr>
            </w:pPr>
            <w:r w:rsidRPr="00BB2B73">
              <w:rPr>
                <w:rFonts w:ascii="Arial" w:hAnsi="Arial" w:cs="Arial"/>
                <w:i/>
                <w:sz w:val="24"/>
                <w:szCs w:val="24"/>
              </w:rPr>
              <w:t>Funkcija predviđena da korisnici sami prijavljuju i definiraju vlastite ponude roba i usluga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 xml:space="preserve"> koje će sustav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 geolokacijski prikazivati svim korisnicima. Kroz sustav </w:t>
            </w:r>
            <w:r w:rsidR="001C0D1F">
              <w:rPr>
                <w:rFonts w:ascii="Arial" w:hAnsi="Arial" w:cs="Arial"/>
                <w:i/>
                <w:sz w:val="24"/>
                <w:szCs w:val="24"/>
              </w:rPr>
              <w:t xml:space="preserve">članovi će moći 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prijaviti alternativno mjesto obavljanja svoje ponude (kako bi se obuhvatili i sezonski poslovi). Bilo kakva promjena statusa obrtnika je zaštićena njegovim PIN-om. Član se može isključiti i uključiti u tražilicu po želji (godišnji odmor, bolest i slično). Sustav će </w:t>
            </w:r>
            <w:r w:rsidR="001C0D1F">
              <w:rPr>
                <w:rFonts w:ascii="Arial" w:hAnsi="Arial" w:cs="Arial"/>
                <w:i/>
                <w:sz w:val="24"/>
                <w:szCs w:val="24"/>
              </w:rPr>
              <w:t>na osnovu postojećih grupiranja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 traži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>elju informacije ponuditi popis članova ovisno o njegovoj lokaciji i to na način da je radijus pretraživanja fleksibilan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 xml:space="preserve"> ovisno o poziciji korisnika. Korisniku će se ponuditi mogućnost mijenjanja radijusa tijekom pretraživanja.</w:t>
            </w:r>
            <w:r w:rsidR="00A420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B2B73">
              <w:rPr>
                <w:rFonts w:ascii="Arial" w:hAnsi="Arial" w:cs="Arial"/>
                <w:i/>
                <w:sz w:val="24"/>
                <w:szCs w:val="24"/>
              </w:rPr>
              <w:t>Kod rezultata pretraživanja, korisniku će se prikazati kontakt podaci za pojedinog ponuđača.</w:t>
            </w:r>
          </w:p>
        </w:tc>
      </w:tr>
    </w:tbl>
    <w:p w:rsidR="004A2440" w:rsidRDefault="004A2440" w:rsidP="004A2440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4A2440" w:rsidRPr="0018253B" w:rsidTr="004A2440">
        <w:tc>
          <w:tcPr>
            <w:tcW w:w="440" w:type="dxa"/>
            <w:vMerge w:val="restart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INTERAKTIVNA KOMUNIKACIJA  - OSOBNI POMOĆNIK</w:t>
            </w:r>
          </w:p>
        </w:tc>
        <w:tc>
          <w:tcPr>
            <w:tcW w:w="90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2018.</w:t>
            </w:r>
          </w:p>
        </w:tc>
        <w:tc>
          <w:tcPr>
            <w:tcW w:w="448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osigurava obrtnicima i anonimnim korisnicima odgovore na najčešće postavljena pitanja (kombinacija sadašnje 072 usluge i portala </w:t>
            </w:r>
            <w:hyperlink r:id="rId12" w:history="1">
              <w:r w:rsidRPr="0018253B">
                <w:rPr>
                  <w:rStyle w:val="Hiperveza"/>
                  <w:rFonts w:ascii="Arial" w:hAnsi="Arial" w:cs="Arial"/>
                  <w:sz w:val="24"/>
                  <w:szCs w:val="24"/>
                </w:rPr>
                <w:t>http://infos.hok.hr</w:t>
              </w:r>
            </w:hyperlink>
            <w:r w:rsidRPr="001825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dodatni</w:t>
            </w:r>
          </w:p>
        </w:tc>
      </w:tr>
      <w:tr w:rsidR="004A2440" w:rsidRPr="0018253B" w:rsidTr="004A2440">
        <w:tc>
          <w:tcPr>
            <w:tcW w:w="440" w:type="dxa"/>
            <w:vMerge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2251C6" w:rsidRPr="002251C6" w:rsidRDefault="002251C6" w:rsidP="002251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51C6">
              <w:rPr>
                <w:rFonts w:ascii="Arial" w:hAnsi="Arial" w:cs="Arial"/>
                <w:i/>
                <w:sz w:val="24"/>
                <w:szCs w:val="24"/>
              </w:rPr>
              <w:t>Projektom se predviđa migracija postojeće baze strukturiranih pitanja i odgovora te njegova buduća administracija.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251C6">
              <w:rPr>
                <w:rFonts w:ascii="Arial" w:hAnsi="Arial" w:cs="Arial"/>
                <w:i/>
                <w:sz w:val="24"/>
                <w:szCs w:val="24"/>
              </w:rPr>
              <w:t xml:space="preserve">Sustav će omogućiti pretraživanje postojeće 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baze odgovora u nekoliko koraka</w:t>
            </w:r>
            <w:r w:rsidRPr="002251C6">
              <w:rPr>
                <w:rFonts w:ascii="Arial" w:hAnsi="Arial" w:cs="Arial"/>
                <w:i/>
                <w:sz w:val="24"/>
                <w:szCs w:val="24"/>
              </w:rPr>
              <w:t xml:space="preserve"> ili postavljanja novog pitanja na koji očekuje odgovor.</w:t>
            </w:r>
          </w:p>
          <w:p w:rsidR="004A2440" w:rsidRPr="0018253B" w:rsidRDefault="002251C6" w:rsidP="002251C6">
            <w:pPr>
              <w:rPr>
                <w:rFonts w:ascii="Arial" w:hAnsi="Arial" w:cs="Arial"/>
                <w:sz w:val="24"/>
                <w:szCs w:val="24"/>
              </w:rPr>
            </w:pPr>
            <w:r w:rsidRPr="002251C6">
              <w:rPr>
                <w:rFonts w:ascii="Arial" w:hAnsi="Arial" w:cs="Arial"/>
                <w:i/>
                <w:sz w:val="24"/>
                <w:szCs w:val="24"/>
              </w:rPr>
              <w:t>Direktna pitanja mogu postavljati samo identificirani korisnici/članovi, kako bi im se moglo direktno odgovoriti.</w:t>
            </w:r>
          </w:p>
        </w:tc>
      </w:tr>
    </w:tbl>
    <w:p w:rsidR="004A2440" w:rsidRDefault="004A2440" w:rsidP="004A2440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4A2440" w:rsidRPr="0018253B" w:rsidTr="004A2440">
        <w:tc>
          <w:tcPr>
            <w:tcW w:w="440" w:type="dxa"/>
            <w:vMerge w:val="restart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br w:type="page"/>
            </w:r>
            <w:r w:rsidRPr="001825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POSLOVNO POVEZIVANJE</w:t>
            </w:r>
          </w:p>
        </w:tc>
        <w:tc>
          <w:tcPr>
            <w:tcW w:w="90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2018.</w:t>
            </w:r>
          </w:p>
        </w:tc>
        <w:tc>
          <w:tcPr>
            <w:tcW w:w="448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osigurava dijelu članstva (plaćanje Komorskog doprinosa) poslovno povezivanje stvaranjem virtualnih klastera (moderirano od strane HOK) i virtualnih burza (roba/usluga/poslova, primjer </w:t>
            </w:r>
            <w:hyperlink r:id="rId13" w:history="1">
              <w:r w:rsidRPr="0018253B">
                <w:rPr>
                  <w:rStyle w:val="Hiperveza"/>
                  <w:rFonts w:ascii="Arial" w:hAnsi="Arial" w:cs="Arial"/>
                  <w:sz w:val="24"/>
                  <w:szCs w:val="24"/>
                </w:rPr>
                <w:t>http://com.hok.hr</w:t>
              </w:r>
            </w:hyperlink>
            <w:r w:rsidRPr="0018253B">
              <w:rPr>
                <w:rFonts w:ascii="Arial" w:hAnsi="Arial" w:cs="Arial"/>
                <w:sz w:val="24"/>
                <w:szCs w:val="24"/>
              </w:rPr>
              <w:t xml:space="preserve"> modul bp).</w:t>
            </w:r>
          </w:p>
        </w:tc>
        <w:tc>
          <w:tcPr>
            <w:tcW w:w="113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dodatni</w:t>
            </w:r>
          </w:p>
        </w:tc>
      </w:tr>
      <w:tr w:rsidR="004A2440" w:rsidRPr="0018253B" w:rsidTr="004A2440">
        <w:tc>
          <w:tcPr>
            <w:tcW w:w="440" w:type="dxa"/>
            <w:vMerge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4A2440" w:rsidRPr="002251C6" w:rsidRDefault="002251C6" w:rsidP="00A420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51C6">
              <w:rPr>
                <w:rFonts w:ascii="Arial" w:hAnsi="Arial" w:cs="Arial"/>
                <w:i/>
                <w:sz w:val="24"/>
                <w:szCs w:val="24"/>
              </w:rPr>
              <w:t>Modul poslovnog povezivanja predviđa kontrolirano objavljivanje različitih natječaja od strane službi HOK-a te okupljanje zai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 xml:space="preserve">nteresiranih članova u Klastere, </w:t>
            </w:r>
            <w:r w:rsidRPr="002251C6">
              <w:rPr>
                <w:rFonts w:ascii="Arial" w:hAnsi="Arial" w:cs="Arial"/>
                <w:i/>
                <w:sz w:val="24"/>
                <w:szCs w:val="24"/>
              </w:rPr>
              <w:t>koji bi se onda zajednički javljali</w:t>
            </w:r>
            <w:r w:rsidR="00A420AC">
              <w:rPr>
                <w:rFonts w:ascii="Arial" w:hAnsi="Arial" w:cs="Arial"/>
                <w:i/>
                <w:sz w:val="24"/>
                <w:szCs w:val="24"/>
              </w:rPr>
              <w:t xml:space="preserve"> na natječajne postupke</w:t>
            </w:r>
            <w:r w:rsidRPr="002251C6">
              <w:rPr>
                <w:rFonts w:ascii="Arial" w:hAnsi="Arial" w:cs="Arial"/>
                <w:i/>
                <w:sz w:val="24"/>
                <w:szCs w:val="24"/>
              </w:rPr>
              <w:t>. Sudjelovanje članova je dobrovoljno. Svaki prijavljeni član može vidjeti kontakt podatke drugog prijavljenog člana u Klasteru.</w:t>
            </w:r>
          </w:p>
        </w:tc>
      </w:tr>
    </w:tbl>
    <w:p w:rsidR="004A2440" w:rsidRDefault="004A2440" w:rsidP="004A2440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440"/>
        <w:gridCol w:w="2503"/>
        <w:gridCol w:w="904"/>
        <w:gridCol w:w="4483"/>
        <w:gridCol w:w="1134"/>
      </w:tblGrid>
      <w:tr w:rsidR="004A2440" w:rsidRPr="0018253B" w:rsidTr="004A2440">
        <w:tc>
          <w:tcPr>
            <w:tcW w:w="440" w:type="dxa"/>
            <w:vMerge w:val="restart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M-DUZNOSNICI</w:t>
            </w:r>
          </w:p>
        </w:tc>
        <w:tc>
          <w:tcPr>
            <w:tcW w:w="90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2018.</w:t>
            </w:r>
          </w:p>
        </w:tc>
        <w:tc>
          <w:tcPr>
            <w:tcW w:w="4483" w:type="dxa"/>
          </w:tcPr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osigurava pozivanje na m-Sjednice Tijela upravljanja (za sve razine obrtničkog komorskog sustava HOK/POK/UO; </w:t>
            </w:r>
            <w:hyperlink r:id="rId14" w:history="1">
              <w:r w:rsidRPr="0018253B">
                <w:rPr>
                  <w:rStyle w:val="Hiperveza"/>
                  <w:rFonts w:ascii="Arial" w:hAnsi="Arial" w:cs="Arial"/>
                  <w:sz w:val="24"/>
                  <w:szCs w:val="24"/>
                </w:rPr>
                <w:t>http://www.hok.hr/var/pokuo.xls</w:t>
              </w:r>
            </w:hyperlink>
            <w:r w:rsidRPr="0018253B">
              <w:rPr>
                <w:rFonts w:ascii="Arial" w:hAnsi="Arial" w:cs="Arial"/>
                <w:sz w:val="24"/>
                <w:szCs w:val="24"/>
              </w:rPr>
              <w:t xml:space="preserve"> ), m-Dokumente za sjednice i m-Glasanje. </w:t>
            </w:r>
          </w:p>
          <w:p w:rsidR="004A2440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Modul zahtjeva 3. razinu tipa korisnika: obrtnik-dužnosnik.   </w:t>
            </w:r>
          </w:p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Za ostvarivanje automatizma elevacije korisničke razine, obavezno dnevno povezivanje s JIS HOK evidencijom imenovanja/razrješenja obrtnika u Tijela upravljanja.</w:t>
            </w:r>
          </w:p>
        </w:tc>
        <w:tc>
          <w:tcPr>
            <w:tcW w:w="1134" w:type="dxa"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dodatni</w:t>
            </w:r>
          </w:p>
        </w:tc>
      </w:tr>
      <w:tr w:rsidR="004A2440" w:rsidRPr="0018253B" w:rsidTr="004A2440">
        <w:tc>
          <w:tcPr>
            <w:tcW w:w="440" w:type="dxa"/>
            <w:vMerge/>
          </w:tcPr>
          <w:p w:rsidR="004A2440" w:rsidRPr="0018253B" w:rsidRDefault="004A2440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233CEE" w:rsidRPr="00233CEE" w:rsidRDefault="00233CEE" w:rsidP="00233C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33CEE">
              <w:rPr>
                <w:rFonts w:ascii="Arial" w:hAnsi="Arial" w:cs="Arial"/>
                <w:i/>
                <w:sz w:val="24"/>
                <w:szCs w:val="24"/>
              </w:rPr>
              <w:t>Preko postojeće evidencije iz baze vezanih uz dužnosnička tijela, strukture i funkcije, sustav omogućava elektronska glasovanja sa predefinirani</w:t>
            </w:r>
            <w:r w:rsidR="00164334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Pr="00233CEE">
              <w:rPr>
                <w:rFonts w:ascii="Arial" w:hAnsi="Arial" w:cs="Arial"/>
                <w:i/>
                <w:sz w:val="24"/>
                <w:szCs w:val="24"/>
              </w:rPr>
              <w:t xml:space="preserve"> odgovorima.</w:t>
            </w:r>
          </w:p>
          <w:p w:rsidR="004A2440" w:rsidRPr="0018253B" w:rsidRDefault="00164334" w:rsidP="00233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Sustav glasovanja</w:t>
            </w:r>
            <w:r w:rsidR="00233CEE" w:rsidRPr="00233CEE">
              <w:rPr>
                <w:rFonts w:ascii="Arial" w:hAnsi="Arial" w:cs="Arial"/>
                <w:i/>
                <w:sz w:val="24"/>
                <w:szCs w:val="24"/>
              </w:rPr>
              <w:t xml:space="preserve"> traži obaveznu potvrdu PIN-om. Centralni sustav ima u realnom vremenu rezultate glasovanja.</w:t>
            </w:r>
          </w:p>
        </w:tc>
      </w:tr>
    </w:tbl>
    <w:p w:rsidR="004A2440" w:rsidRDefault="004A2440" w:rsidP="00E76139">
      <w:pPr>
        <w:rPr>
          <w:rFonts w:ascii="Arial" w:hAnsi="Arial" w:cs="Arial"/>
          <w:sz w:val="24"/>
          <w:szCs w:val="24"/>
        </w:rPr>
      </w:pPr>
    </w:p>
    <w:p w:rsidR="007230EB" w:rsidRDefault="007230EB" w:rsidP="00E76139">
      <w:pPr>
        <w:rPr>
          <w:rFonts w:ascii="Arial" w:hAnsi="Arial" w:cs="Arial"/>
          <w:sz w:val="24"/>
          <w:szCs w:val="24"/>
        </w:rPr>
      </w:pPr>
    </w:p>
    <w:p w:rsidR="007230EB" w:rsidRDefault="007230EB" w:rsidP="00E76139">
      <w:pPr>
        <w:rPr>
          <w:rFonts w:ascii="Arial" w:hAnsi="Arial" w:cs="Arial"/>
          <w:sz w:val="24"/>
          <w:szCs w:val="24"/>
        </w:rPr>
      </w:pPr>
    </w:p>
    <w:p w:rsidR="007230EB" w:rsidRDefault="007230EB" w:rsidP="00E76139">
      <w:pPr>
        <w:rPr>
          <w:rFonts w:ascii="Arial" w:hAnsi="Arial" w:cs="Arial"/>
          <w:sz w:val="24"/>
          <w:szCs w:val="24"/>
        </w:rPr>
      </w:pPr>
    </w:p>
    <w:p w:rsidR="007230EB" w:rsidRDefault="007230EB" w:rsidP="00E76139">
      <w:pPr>
        <w:rPr>
          <w:rFonts w:ascii="Arial" w:hAnsi="Arial" w:cs="Arial"/>
          <w:sz w:val="24"/>
          <w:szCs w:val="24"/>
        </w:rPr>
      </w:pPr>
    </w:p>
    <w:p w:rsidR="007230EB" w:rsidRDefault="007230EB" w:rsidP="00E76139">
      <w:pPr>
        <w:rPr>
          <w:rFonts w:ascii="Arial" w:hAnsi="Arial" w:cs="Arial"/>
          <w:sz w:val="24"/>
          <w:szCs w:val="24"/>
        </w:rPr>
      </w:pPr>
    </w:p>
    <w:p w:rsidR="007230EB" w:rsidRDefault="007230EB" w:rsidP="00E76139">
      <w:pPr>
        <w:rPr>
          <w:rFonts w:ascii="Arial" w:hAnsi="Arial" w:cs="Arial"/>
          <w:sz w:val="24"/>
          <w:szCs w:val="24"/>
        </w:rPr>
      </w:pPr>
    </w:p>
    <w:p w:rsidR="007230EB" w:rsidRPr="00B41B66" w:rsidRDefault="007230EB" w:rsidP="00E76139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40" w:type="dxa"/>
        <w:tblInd w:w="-176" w:type="dxa"/>
        <w:tblLayout w:type="fixed"/>
        <w:tblLook w:val="04A0"/>
      </w:tblPr>
      <w:tblGrid>
        <w:gridCol w:w="616"/>
        <w:gridCol w:w="2503"/>
        <w:gridCol w:w="904"/>
        <w:gridCol w:w="4483"/>
        <w:gridCol w:w="1134"/>
      </w:tblGrid>
      <w:tr w:rsidR="00233CEE" w:rsidRPr="0018253B" w:rsidTr="007230EB">
        <w:tc>
          <w:tcPr>
            <w:tcW w:w="616" w:type="dxa"/>
            <w:vMerge w:val="restart"/>
          </w:tcPr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GEOLOKACIJSKA TRGOVINA ROBA I USLUGA ZA ČLANA – DODATNI PAKET</w:t>
            </w:r>
          </w:p>
        </w:tc>
        <w:tc>
          <w:tcPr>
            <w:tcW w:w="904" w:type="dxa"/>
          </w:tcPr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2018.</w:t>
            </w:r>
          </w:p>
        </w:tc>
        <w:tc>
          <w:tcPr>
            <w:tcW w:w="4483" w:type="dxa"/>
          </w:tcPr>
          <w:p w:rsidR="00233CEE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odul proširuje geolokacijsku promidžbu ponuda i usluga na mogućnost naručivanja i/ili kupovine (povezivanje s sustavom online plaćanja). </w:t>
            </w:r>
          </w:p>
          <w:p w:rsidR="00233CEE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 xml:space="preserve">Modul je dostupan samo članovima s paketom pretplate na dopunsku/dodatnu članarinu. </w:t>
            </w:r>
          </w:p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Elevacija prava obrtnika iz informacije Komorskog doprinosa i dodatnih članarina).</w:t>
            </w:r>
          </w:p>
        </w:tc>
        <w:tc>
          <w:tcPr>
            <w:tcW w:w="1134" w:type="dxa"/>
          </w:tcPr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dodatni</w:t>
            </w:r>
          </w:p>
        </w:tc>
      </w:tr>
      <w:tr w:rsidR="00233CEE" w:rsidRPr="0018253B" w:rsidTr="007230EB">
        <w:tc>
          <w:tcPr>
            <w:tcW w:w="616" w:type="dxa"/>
            <w:vMerge/>
          </w:tcPr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233CEE" w:rsidRPr="00233CEE" w:rsidRDefault="00233CEE" w:rsidP="00233CE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Razviti </w:t>
            </w:r>
            <w:r w:rsidRPr="00233CE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z</w:t>
            </w:r>
            <w:r w:rsidRPr="00233CEE">
              <w:rPr>
                <w:rFonts w:ascii="Arial" w:hAnsi="Arial" w:cs="Arial"/>
                <w:i/>
                <w:sz w:val="24"/>
                <w:szCs w:val="24"/>
              </w:rPr>
              <w:t>asebn</w:t>
            </w:r>
            <w:r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233CEE">
              <w:rPr>
                <w:rFonts w:ascii="Arial" w:hAnsi="Arial" w:cs="Arial"/>
                <w:i/>
                <w:sz w:val="24"/>
                <w:szCs w:val="24"/>
              </w:rPr>
              <w:t xml:space="preserve"> specifikacij</w:t>
            </w:r>
            <w:r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233CEE">
              <w:rPr>
                <w:rFonts w:ascii="Arial" w:hAnsi="Arial" w:cs="Arial"/>
                <w:i/>
                <w:sz w:val="24"/>
                <w:szCs w:val="24"/>
              </w:rPr>
              <w:t xml:space="preserve"> zbog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kompleksnosti sustava i nužne </w:t>
            </w:r>
            <w:r w:rsidRPr="00233CEE">
              <w:rPr>
                <w:rFonts w:ascii="Arial" w:hAnsi="Arial" w:cs="Arial"/>
                <w:i/>
                <w:sz w:val="24"/>
                <w:szCs w:val="24"/>
              </w:rPr>
              <w:t>implementacije visoke razine sigurnosti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</w:tc>
      </w:tr>
    </w:tbl>
    <w:p w:rsidR="004A2440" w:rsidRDefault="004A2440" w:rsidP="004A2440">
      <w:pPr>
        <w:rPr>
          <w:rFonts w:ascii="Arial" w:hAnsi="Arial" w:cs="Arial"/>
          <w:i/>
          <w:sz w:val="24"/>
          <w:szCs w:val="24"/>
        </w:rPr>
      </w:pPr>
    </w:p>
    <w:tbl>
      <w:tblPr>
        <w:tblStyle w:val="Reetkatablice"/>
        <w:tblW w:w="9640" w:type="dxa"/>
        <w:tblInd w:w="-176" w:type="dxa"/>
        <w:tblLayout w:type="fixed"/>
        <w:tblLook w:val="04A0"/>
      </w:tblPr>
      <w:tblGrid>
        <w:gridCol w:w="616"/>
        <w:gridCol w:w="2503"/>
        <w:gridCol w:w="904"/>
        <w:gridCol w:w="4483"/>
        <w:gridCol w:w="1134"/>
      </w:tblGrid>
      <w:tr w:rsidR="00233CEE" w:rsidRPr="0018253B" w:rsidTr="007230EB">
        <w:trPr>
          <w:trHeight w:val="2068"/>
        </w:trPr>
        <w:tc>
          <w:tcPr>
            <w:tcW w:w="616" w:type="dxa"/>
            <w:vMerge w:val="restart"/>
          </w:tcPr>
          <w:p w:rsidR="00233CEE" w:rsidRPr="0018253B" w:rsidRDefault="00233CEE" w:rsidP="007A7CE3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233CEE" w:rsidRPr="0018253B" w:rsidRDefault="00233CEE" w:rsidP="007A7CE3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ADMINISTRATIVNE ZAPREKE/PRIJAVE POVREDA U POSLOVANJU</w:t>
            </w:r>
          </w:p>
        </w:tc>
        <w:tc>
          <w:tcPr>
            <w:tcW w:w="904" w:type="dxa"/>
          </w:tcPr>
          <w:p w:rsidR="00233CEE" w:rsidRPr="0018253B" w:rsidRDefault="00233CEE" w:rsidP="00912350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20</w:t>
            </w:r>
            <w:r w:rsidR="00912350">
              <w:rPr>
                <w:rFonts w:ascii="Arial" w:hAnsi="Arial" w:cs="Arial"/>
                <w:sz w:val="24"/>
                <w:szCs w:val="24"/>
              </w:rPr>
              <w:t>1</w:t>
            </w:r>
            <w:r w:rsidRPr="0018253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83" w:type="dxa"/>
          </w:tcPr>
          <w:p w:rsidR="00233CEE" w:rsidRDefault="00233CEE" w:rsidP="007A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8253B">
              <w:rPr>
                <w:rFonts w:ascii="Arial" w:hAnsi="Arial" w:cs="Arial"/>
                <w:sz w:val="24"/>
                <w:szCs w:val="24"/>
              </w:rPr>
              <w:t>odul osigura</w:t>
            </w:r>
            <w:r>
              <w:rPr>
                <w:rFonts w:ascii="Arial" w:hAnsi="Arial" w:cs="Arial"/>
                <w:sz w:val="24"/>
                <w:szCs w:val="24"/>
              </w:rPr>
              <w:t>va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 povratnu tekstualnu i slikovnu informaciju  od obrtnika prema HOK-u sa ciljem rješavanja problema koji mu otežavaju poslovanje (</w:t>
            </w:r>
            <w:hyperlink r:id="rId15" w:history="1">
              <w:r w:rsidRPr="0018253B">
                <w:rPr>
                  <w:rStyle w:val="Hiperveza"/>
                  <w:rFonts w:ascii="Arial" w:hAnsi="Arial" w:cs="Arial"/>
                  <w:sz w:val="24"/>
                  <w:szCs w:val="24"/>
                </w:rPr>
                <w:t>http://abeo.hok.hr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18253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33CEE" w:rsidRPr="0018253B" w:rsidRDefault="00233CEE" w:rsidP="007A7CE3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Putem modula obrtnik može prijaviti neregistrirano obavljanje djelatnosti u HOK (inspekcijske službe).</w:t>
            </w:r>
          </w:p>
        </w:tc>
        <w:tc>
          <w:tcPr>
            <w:tcW w:w="1134" w:type="dxa"/>
          </w:tcPr>
          <w:p w:rsidR="00233CEE" w:rsidRPr="0018253B" w:rsidRDefault="00233CEE" w:rsidP="007A7CE3">
            <w:pPr>
              <w:rPr>
                <w:rFonts w:ascii="Arial" w:hAnsi="Arial" w:cs="Arial"/>
                <w:sz w:val="24"/>
                <w:szCs w:val="24"/>
              </w:rPr>
            </w:pPr>
            <w:r w:rsidRPr="0018253B">
              <w:rPr>
                <w:rFonts w:ascii="Arial" w:hAnsi="Arial" w:cs="Arial"/>
                <w:sz w:val="24"/>
                <w:szCs w:val="24"/>
              </w:rPr>
              <w:t>dodatni</w:t>
            </w:r>
          </w:p>
        </w:tc>
      </w:tr>
      <w:tr w:rsidR="00233CEE" w:rsidRPr="0018253B" w:rsidTr="007230EB">
        <w:tc>
          <w:tcPr>
            <w:tcW w:w="616" w:type="dxa"/>
            <w:vMerge/>
          </w:tcPr>
          <w:p w:rsidR="00233CEE" w:rsidRPr="0018253B" w:rsidRDefault="00233CEE" w:rsidP="004A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4" w:type="dxa"/>
            <w:gridSpan w:val="4"/>
          </w:tcPr>
          <w:p w:rsidR="00233CEE" w:rsidRPr="0018253B" w:rsidRDefault="00233CEE" w:rsidP="00233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Provjeriti mogućnosti povezivanja na inspekcijske službe.</w:t>
            </w:r>
          </w:p>
        </w:tc>
      </w:tr>
    </w:tbl>
    <w:p w:rsidR="004A2440" w:rsidRPr="00B41B66" w:rsidRDefault="004A2440" w:rsidP="004A2440">
      <w:pPr>
        <w:rPr>
          <w:rFonts w:ascii="Arial" w:hAnsi="Arial" w:cs="Arial"/>
          <w:sz w:val="24"/>
          <w:szCs w:val="24"/>
        </w:rPr>
      </w:pPr>
    </w:p>
    <w:p w:rsidR="00912350" w:rsidRPr="00B3177F" w:rsidRDefault="00912350" w:rsidP="00912350">
      <w:pPr>
        <w:rPr>
          <w:rFonts w:ascii="Arial" w:hAnsi="Arial" w:cs="Arial"/>
          <w:sz w:val="24"/>
          <w:szCs w:val="24"/>
        </w:rPr>
      </w:pPr>
      <w:r w:rsidRPr="00B3177F">
        <w:rPr>
          <w:rFonts w:ascii="Arial" w:hAnsi="Arial" w:cs="Arial"/>
          <w:sz w:val="24"/>
          <w:szCs w:val="24"/>
        </w:rPr>
        <w:t>* Dostupni dnevni izvori podataka za aplikaciju:</w:t>
      </w:r>
    </w:p>
    <w:p w:rsidR="00912350" w:rsidRPr="00B3177F" w:rsidRDefault="00912350" w:rsidP="0091235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77F">
        <w:rPr>
          <w:rFonts w:ascii="Arial" w:hAnsi="Arial" w:cs="Arial"/>
          <w:sz w:val="24"/>
          <w:szCs w:val="24"/>
        </w:rPr>
        <w:t>podaci Obrtnog registra RH (OR) - podaci o obrtima, članstvu, izdvojenim pogonima obrta i NKD2007 djelatnostima u sjedištu i izdvojenim pogonima</w:t>
      </w:r>
    </w:p>
    <w:p w:rsidR="00912350" w:rsidRPr="00B3177F" w:rsidRDefault="00912350" w:rsidP="0091235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77F">
        <w:rPr>
          <w:rFonts w:ascii="Arial" w:hAnsi="Arial" w:cs="Arial"/>
          <w:sz w:val="24"/>
          <w:szCs w:val="24"/>
        </w:rPr>
        <w:t>podaci Dobrovoljnog članstva HOK (DCHOK) - podaci o dobrovoljnom članstvu HOK, fizičke i pravne osobe u RH i izvan RH (OIB za strane fizičke os</w:t>
      </w:r>
      <w:r w:rsidR="001C0D1F">
        <w:rPr>
          <w:rFonts w:ascii="Arial" w:hAnsi="Arial" w:cs="Arial"/>
          <w:sz w:val="24"/>
          <w:szCs w:val="24"/>
        </w:rPr>
        <w:t>obe)</w:t>
      </w:r>
    </w:p>
    <w:p w:rsidR="00912350" w:rsidRPr="00B3177F" w:rsidRDefault="00912350" w:rsidP="0091235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77F">
        <w:rPr>
          <w:rFonts w:ascii="Arial" w:hAnsi="Arial" w:cs="Arial"/>
          <w:sz w:val="24"/>
          <w:szCs w:val="24"/>
        </w:rPr>
        <w:t>podaci Obveznici komorskog doprinosa - podaci o statusu plaćanja komorskog doprinosa, povezani s OR i DCHOK preko OIB-a osobe</w:t>
      </w:r>
    </w:p>
    <w:p w:rsidR="00912350" w:rsidRPr="00B3177F" w:rsidRDefault="00912350" w:rsidP="0091235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77F">
        <w:rPr>
          <w:rFonts w:ascii="Arial" w:hAnsi="Arial" w:cs="Arial"/>
          <w:sz w:val="24"/>
          <w:szCs w:val="24"/>
        </w:rPr>
        <w:t>podaci AIDA - kontakt podaci obveznog i dobrovoljnog članstva koji sadrže telefon, mobitel i e-mail podatke, povezani s OR i DCHOK preko OIB-a osobe</w:t>
      </w:r>
    </w:p>
    <w:p w:rsidR="007315CA" w:rsidRPr="007315CA" w:rsidRDefault="00912350" w:rsidP="006476F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77F">
        <w:rPr>
          <w:rFonts w:ascii="Arial" w:hAnsi="Arial" w:cs="Arial"/>
          <w:sz w:val="24"/>
          <w:szCs w:val="24"/>
        </w:rPr>
        <w:t>podaci Dužnosnici HOK - podaci vezani uz članstvo u HOK tijelima, povezani s OR i DCHOK preko OIB-a osobe.</w:t>
      </w:r>
    </w:p>
    <w:sectPr w:rsidR="007315CA" w:rsidRPr="007315CA" w:rsidSect="00544E31">
      <w:headerReference w:type="default" r:id="rId16"/>
      <w:footerReference w:type="default" r:id="rId1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B2" w:rsidRDefault="001E02B2" w:rsidP="008876B0">
      <w:r>
        <w:separator/>
      </w:r>
    </w:p>
  </w:endnote>
  <w:endnote w:type="continuationSeparator" w:id="1">
    <w:p w:rsidR="001E02B2" w:rsidRDefault="001E02B2" w:rsidP="0088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4204"/>
      <w:docPartObj>
        <w:docPartGallery w:val="Page Numbers (Bottom of Page)"/>
        <w:docPartUnique/>
      </w:docPartObj>
    </w:sdtPr>
    <w:sdtContent>
      <w:p w:rsidR="007230EB" w:rsidRDefault="007230E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0EB" w:rsidRDefault="007230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B2" w:rsidRDefault="001E02B2" w:rsidP="008876B0">
      <w:r>
        <w:separator/>
      </w:r>
    </w:p>
  </w:footnote>
  <w:footnote w:type="continuationSeparator" w:id="1">
    <w:p w:rsidR="001E02B2" w:rsidRDefault="001E02B2" w:rsidP="0088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17" w:rsidRPr="0018253B" w:rsidRDefault="001A3317" w:rsidP="008876B0">
    <w:pPr>
      <w:pStyle w:val="Zaglavlje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14"/>
    <w:multiLevelType w:val="hybridMultilevel"/>
    <w:tmpl w:val="EE942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849"/>
    <w:multiLevelType w:val="hybridMultilevel"/>
    <w:tmpl w:val="6054F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7481"/>
    <w:multiLevelType w:val="hybridMultilevel"/>
    <w:tmpl w:val="B30C4AC6"/>
    <w:lvl w:ilvl="0" w:tplc="5F84B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7B6C"/>
    <w:multiLevelType w:val="hybridMultilevel"/>
    <w:tmpl w:val="751C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D90"/>
    <w:multiLevelType w:val="hybridMultilevel"/>
    <w:tmpl w:val="8F121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934"/>
    <w:multiLevelType w:val="hybridMultilevel"/>
    <w:tmpl w:val="9C665E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62181"/>
    <w:multiLevelType w:val="hybridMultilevel"/>
    <w:tmpl w:val="81F03A8C"/>
    <w:lvl w:ilvl="0" w:tplc="5F84B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4497"/>
    <w:multiLevelType w:val="hybridMultilevel"/>
    <w:tmpl w:val="33D25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35238"/>
    <w:multiLevelType w:val="hybridMultilevel"/>
    <w:tmpl w:val="5AD4EF2E"/>
    <w:lvl w:ilvl="0" w:tplc="5F84B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6F1B"/>
    <w:multiLevelType w:val="hybridMultilevel"/>
    <w:tmpl w:val="81668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43C"/>
    <w:rsid w:val="0000323D"/>
    <w:rsid w:val="00041131"/>
    <w:rsid w:val="00074A94"/>
    <w:rsid w:val="0007593A"/>
    <w:rsid w:val="000B32AA"/>
    <w:rsid w:val="000C1D27"/>
    <w:rsid w:val="00160977"/>
    <w:rsid w:val="00162108"/>
    <w:rsid w:val="00164334"/>
    <w:rsid w:val="0018253B"/>
    <w:rsid w:val="00196181"/>
    <w:rsid w:val="00196C12"/>
    <w:rsid w:val="001A3317"/>
    <w:rsid w:val="001B1CE6"/>
    <w:rsid w:val="001C0D1F"/>
    <w:rsid w:val="001D724C"/>
    <w:rsid w:val="001E02B2"/>
    <w:rsid w:val="002251C6"/>
    <w:rsid w:val="00232E0F"/>
    <w:rsid w:val="0023337E"/>
    <w:rsid w:val="00233CEE"/>
    <w:rsid w:val="00240398"/>
    <w:rsid w:val="002866D9"/>
    <w:rsid w:val="0029385A"/>
    <w:rsid w:val="002B0883"/>
    <w:rsid w:val="002F2946"/>
    <w:rsid w:val="003323B7"/>
    <w:rsid w:val="00367F9F"/>
    <w:rsid w:val="0037143C"/>
    <w:rsid w:val="00381749"/>
    <w:rsid w:val="00446D1A"/>
    <w:rsid w:val="00462A93"/>
    <w:rsid w:val="00467BE2"/>
    <w:rsid w:val="00481826"/>
    <w:rsid w:val="004A2440"/>
    <w:rsid w:val="004D7338"/>
    <w:rsid w:val="004E339D"/>
    <w:rsid w:val="00502EEB"/>
    <w:rsid w:val="00504FE9"/>
    <w:rsid w:val="00544E31"/>
    <w:rsid w:val="006476F8"/>
    <w:rsid w:val="00656DF8"/>
    <w:rsid w:val="00661752"/>
    <w:rsid w:val="0066228E"/>
    <w:rsid w:val="00696FB0"/>
    <w:rsid w:val="006A41E3"/>
    <w:rsid w:val="006D0B15"/>
    <w:rsid w:val="006D5C22"/>
    <w:rsid w:val="007230EB"/>
    <w:rsid w:val="007315CA"/>
    <w:rsid w:val="00732508"/>
    <w:rsid w:val="00747CDF"/>
    <w:rsid w:val="00752C3E"/>
    <w:rsid w:val="00756664"/>
    <w:rsid w:val="00787EDF"/>
    <w:rsid w:val="00791B11"/>
    <w:rsid w:val="0079710C"/>
    <w:rsid w:val="007A7CE3"/>
    <w:rsid w:val="007C2C79"/>
    <w:rsid w:val="007D1335"/>
    <w:rsid w:val="007F39AC"/>
    <w:rsid w:val="007F667B"/>
    <w:rsid w:val="008437BF"/>
    <w:rsid w:val="008876B0"/>
    <w:rsid w:val="008B0C08"/>
    <w:rsid w:val="008B6E3F"/>
    <w:rsid w:val="00906E06"/>
    <w:rsid w:val="00912350"/>
    <w:rsid w:val="00921CA6"/>
    <w:rsid w:val="009473ED"/>
    <w:rsid w:val="009C1D48"/>
    <w:rsid w:val="009C24FF"/>
    <w:rsid w:val="00A27D4D"/>
    <w:rsid w:val="00A420AC"/>
    <w:rsid w:val="00A74B56"/>
    <w:rsid w:val="00A93DA9"/>
    <w:rsid w:val="00A94767"/>
    <w:rsid w:val="00AB56CB"/>
    <w:rsid w:val="00AE478F"/>
    <w:rsid w:val="00AF736F"/>
    <w:rsid w:val="00B3177F"/>
    <w:rsid w:val="00B4086C"/>
    <w:rsid w:val="00B41B66"/>
    <w:rsid w:val="00BA3AB8"/>
    <w:rsid w:val="00BB2B73"/>
    <w:rsid w:val="00BC233B"/>
    <w:rsid w:val="00BC7506"/>
    <w:rsid w:val="00C32871"/>
    <w:rsid w:val="00C35FF6"/>
    <w:rsid w:val="00C463C0"/>
    <w:rsid w:val="00C56E0B"/>
    <w:rsid w:val="00DA1429"/>
    <w:rsid w:val="00DA46A3"/>
    <w:rsid w:val="00DA4F1D"/>
    <w:rsid w:val="00E10141"/>
    <w:rsid w:val="00E114F5"/>
    <w:rsid w:val="00E65334"/>
    <w:rsid w:val="00E67303"/>
    <w:rsid w:val="00E76139"/>
    <w:rsid w:val="00E95055"/>
    <w:rsid w:val="00ED41A1"/>
    <w:rsid w:val="00EE6772"/>
    <w:rsid w:val="00F21F9B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3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12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18253B"/>
    <w:pPr>
      <w:keepNext/>
      <w:widowControl w:val="0"/>
      <w:outlineLvl w:val="5"/>
    </w:pPr>
    <w:rPr>
      <w:rFonts w:ascii="Times New Roman" w:eastAsia="Times New Roman" w:hAnsi="Times New Roman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876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6B0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76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6B0"/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481826"/>
    <w:rPr>
      <w:color w:val="0000FF" w:themeColor="hyperlink"/>
      <w:u w:val="single"/>
    </w:rPr>
  </w:style>
  <w:style w:type="character" w:customStyle="1" w:styleId="Naslov6Char">
    <w:name w:val="Naslov 6 Char"/>
    <w:basedOn w:val="Zadanifontodlomka"/>
    <w:link w:val="Naslov6"/>
    <w:rsid w:val="0018253B"/>
    <w:rPr>
      <w:rFonts w:ascii="Times New Roman" w:eastAsia="Times New Roman" w:hAnsi="Times New Roman" w:cs="Times New Roman"/>
      <w:b/>
      <w:sz w:val="1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53B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123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2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3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18253B"/>
    <w:pPr>
      <w:keepNext/>
      <w:widowControl w:val="0"/>
      <w:outlineLvl w:val="5"/>
    </w:pPr>
    <w:rPr>
      <w:rFonts w:ascii="Times New Roman" w:eastAsia="Times New Roman" w:hAnsi="Times New Roman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6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6B0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76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6B0"/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481826"/>
    <w:rPr>
      <w:color w:val="0000FF" w:themeColor="hyperlink"/>
      <w:u w:val="single"/>
    </w:rPr>
  </w:style>
  <w:style w:type="character" w:customStyle="1" w:styleId="Naslov6Char">
    <w:name w:val="Naslov 6 Char"/>
    <w:basedOn w:val="Zadanifontodlomka"/>
    <w:link w:val="Naslov6"/>
    <w:rsid w:val="0018253B"/>
    <w:rPr>
      <w:rFonts w:ascii="Times New Roman" w:eastAsia="Times New Roman" w:hAnsi="Times New Roman" w:cs="Times New Roman"/>
      <w:b/>
      <w:sz w:val="1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53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atska-obrtnicka-komora@hok.hr" TargetMode="External"/><Relationship Id="rId13" Type="http://schemas.openxmlformats.org/officeDocument/2006/relationships/hyperlink" Target="http://com.hok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s.hok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learning/mcsd-azure-architect-certificatio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eo.hok.hr" TargetMode="External"/><Relationship Id="rId10" Type="http://schemas.openxmlformats.org/officeDocument/2006/relationships/hyperlink" Target="https://cloud.google.com/certif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hok.hr/var/pokuo.xl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CDBD-7020-4123-A605-4FE57F79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franovic</dc:creator>
  <cp:lastModifiedBy>User</cp:lastModifiedBy>
  <cp:revision>2</cp:revision>
  <cp:lastPrinted>2016-11-04T14:21:00Z</cp:lastPrinted>
  <dcterms:created xsi:type="dcterms:W3CDTF">2017-07-28T13:22:00Z</dcterms:created>
  <dcterms:modified xsi:type="dcterms:W3CDTF">2017-07-28T13:22:00Z</dcterms:modified>
</cp:coreProperties>
</file>